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BC17" w14:textId="4CBB3C2D" w:rsidR="5972AA52" w:rsidRDefault="5972AA52" w:rsidP="5972AA52">
      <w:pPr>
        <w:jc w:val="center"/>
        <w:rPr>
          <w:b/>
          <w:bCs/>
          <w:sz w:val="28"/>
          <w:szCs w:val="28"/>
          <w:u w:val="single"/>
        </w:rPr>
      </w:pPr>
    </w:p>
    <w:p w14:paraId="194470E1" w14:textId="1F1DE9E0" w:rsidR="00470CC7" w:rsidRPr="00EC5AA1" w:rsidRDefault="00B8746F" w:rsidP="00E01FEB">
      <w:pPr>
        <w:pStyle w:val="Heading1"/>
      </w:pPr>
      <w:r w:rsidRPr="5972AA52">
        <w:t>Investment Strategy governing HSBC investments</w:t>
      </w:r>
    </w:p>
    <w:p w14:paraId="33B5E421" w14:textId="5F48B8A7" w:rsidR="5972AA52" w:rsidRDefault="5972AA52" w:rsidP="5972AA52">
      <w:pPr>
        <w:jc w:val="center"/>
        <w:rPr>
          <w:b/>
          <w:bCs/>
          <w:sz w:val="28"/>
          <w:szCs w:val="28"/>
          <w:u w:val="single"/>
        </w:rPr>
      </w:pPr>
    </w:p>
    <w:p w14:paraId="1E8EA74A"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Responsible Office:</w:t>
      </w:r>
      <w:r w:rsidRPr="00BC539E">
        <w:rPr>
          <w:rFonts w:ascii="Aptos" w:eastAsia="Aptos" w:hAnsi="Aptos" w:cs="Times New Roman"/>
          <w:sz w:val="24"/>
          <w:szCs w:val="24"/>
        </w:rPr>
        <w:tab/>
      </w:r>
      <w:r w:rsidRPr="00BC539E">
        <w:rPr>
          <w:rFonts w:ascii="Aptos" w:eastAsia="Aptos" w:hAnsi="Aptos" w:cs="Times New Roman"/>
          <w:sz w:val="24"/>
          <w:szCs w:val="24"/>
        </w:rPr>
        <w:tab/>
      </w:r>
      <w:r w:rsidRPr="00BC539E">
        <w:rPr>
          <w:rFonts w:ascii="Aptos" w:eastAsia="Aptos" w:hAnsi="Aptos" w:cs="Times New Roman"/>
          <w:sz w:val="24"/>
          <w:szCs w:val="24"/>
        </w:rPr>
        <w:tab/>
        <w:t>University Executive</w:t>
      </w:r>
    </w:p>
    <w:p w14:paraId="61B47F53"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Responsible Officer:</w:t>
      </w:r>
      <w:r w:rsidRPr="00BC539E">
        <w:rPr>
          <w:rFonts w:ascii="Aptos" w:eastAsia="Aptos" w:hAnsi="Aptos" w:cs="Times New Roman"/>
          <w:sz w:val="24"/>
          <w:szCs w:val="24"/>
        </w:rPr>
        <w:tab/>
      </w:r>
      <w:r w:rsidRPr="00BC539E">
        <w:rPr>
          <w:rFonts w:ascii="Aptos" w:eastAsia="Aptos" w:hAnsi="Aptos" w:cs="Times New Roman"/>
          <w:sz w:val="24"/>
          <w:szCs w:val="24"/>
        </w:rPr>
        <w:tab/>
        <w:t>Chief Financial Officer</w:t>
      </w:r>
    </w:p>
    <w:p w14:paraId="64856AE4"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Approving Authority:</w:t>
      </w:r>
      <w:r w:rsidRPr="00BC539E">
        <w:rPr>
          <w:rFonts w:ascii="Aptos" w:eastAsia="Aptos" w:hAnsi="Aptos" w:cs="Times New Roman"/>
          <w:sz w:val="24"/>
          <w:szCs w:val="24"/>
        </w:rPr>
        <w:tab/>
      </w:r>
      <w:r w:rsidRPr="00BC539E">
        <w:rPr>
          <w:rFonts w:ascii="Aptos" w:eastAsia="Aptos" w:hAnsi="Aptos" w:cs="Times New Roman"/>
          <w:sz w:val="24"/>
          <w:szCs w:val="24"/>
        </w:rPr>
        <w:tab/>
        <w:t>Finance &amp; Infrastructure Committee</w:t>
      </w:r>
    </w:p>
    <w:p w14:paraId="6D62A190"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Date of Approval:</w:t>
      </w:r>
      <w:r w:rsidRPr="00BC539E">
        <w:rPr>
          <w:rFonts w:ascii="Aptos" w:eastAsia="Aptos" w:hAnsi="Aptos" w:cs="Times New Roman"/>
          <w:sz w:val="24"/>
          <w:szCs w:val="24"/>
        </w:rPr>
        <w:tab/>
      </w:r>
      <w:r w:rsidRPr="00BC539E">
        <w:rPr>
          <w:rFonts w:ascii="Aptos" w:eastAsia="Aptos" w:hAnsi="Aptos" w:cs="Times New Roman"/>
          <w:sz w:val="24"/>
          <w:szCs w:val="24"/>
        </w:rPr>
        <w:tab/>
      </w:r>
      <w:r w:rsidRPr="00BC539E">
        <w:rPr>
          <w:rFonts w:ascii="Aptos" w:eastAsia="Aptos" w:hAnsi="Aptos" w:cs="Times New Roman"/>
          <w:sz w:val="24"/>
          <w:szCs w:val="24"/>
        </w:rPr>
        <w:tab/>
        <w:t>1st March 2024</w:t>
      </w:r>
    </w:p>
    <w:p w14:paraId="7BDD115D"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Effective Date:</w:t>
      </w:r>
      <w:r w:rsidRPr="00BC539E">
        <w:rPr>
          <w:rFonts w:ascii="Aptos" w:eastAsia="Aptos" w:hAnsi="Aptos" w:cs="Times New Roman"/>
          <w:sz w:val="24"/>
          <w:szCs w:val="24"/>
        </w:rPr>
        <w:tab/>
      </w:r>
      <w:r w:rsidRPr="00BC539E">
        <w:rPr>
          <w:rFonts w:ascii="Aptos" w:eastAsia="Aptos" w:hAnsi="Aptos" w:cs="Times New Roman"/>
          <w:sz w:val="24"/>
          <w:szCs w:val="24"/>
        </w:rPr>
        <w:tab/>
      </w:r>
      <w:r w:rsidRPr="00BC539E">
        <w:rPr>
          <w:rFonts w:ascii="Aptos" w:eastAsia="Aptos" w:hAnsi="Aptos" w:cs="Times New Roman"/>
          <w:sz w:val="24"/>
          <w:szCs w:val="24"/>
        </w:rPr>
        <w:tab/>
        <w:t>1st March 2024</w:t>
      </w:r>
    </w:p>
    <w:p w14:paraId="6AF006F5" w14:textId="77777777" w:rsidR="00BC539E" w:rsidRPr="00BC539E" w:rsidRDefault="00BC539E" w:rsidP="00BC539E">
      <w:pPr>
        <w:spacing w:line="278" w:lineRule="auto"/>
        <w:rPr>
          <w:rFonts w:ascii="Aptos" w:eastAsia="Aptos" w:hAnsi="Aptos" w:cs="Times New Roman"/>
          <w:b/>
          <w:bCs/>
          <w:sz w:val="24"/>
          <w:szCs w:val="24"/>
        </w:rPr>
      </w:pPr>
      <w:r w:rsidRPr="00BC539E">
        <w:rPr>
          <w:rFonts w:ascii="Aptos" w:eastAsia="Aptos" w:hAnsi="Aptos" w:cs="Times New Roman"/>
          <w:b/>
          <w:bCs/>
          <w:sz w:val="24"/>
          <w:szCs w:val="24"/>
        </w:rPr>
        <w:t>Related Procedures:</w:t>
      </w:r>
      <w:r w:rsidRPr="00BC539E">
        <w:rPr>
          <w:rFonts w:ascii="Aptos" w:eastAsia="Aptos" w:hAnsi="Aptos" w:cs="Times New Roman"/>
          <w:b/>
          <w:bCs/>
          <w:sz w:val="24"/>
          <w:szCs w:val="24"/>
        </w:rPr>
        <w:tab/>
      </w:r>
    </w:p>
    <w:p w14:paraId="1547CDAF"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Related University Policies:</w:t>
      </w:r>
      <w:r w:rsidRPr="00BC539E">
        <w:rPr>
          <w:rFonts w:ascii="Aptos" w:eastAsia="Aptos" w:hAnsi="Aptos" w:cs="Times New Roman"/>
          <w:sz w:val="24"/>
          <w:szCs w:val="24"/>
        </w:rPr>
        <w:tab/>
        <w:t>Responsible Investment &amp; Treasury Policy Statement</w:t>
      </w:r>
    </w:p>
    <w:p w14:paraId="7EAA5C9B" w14:textId="77777777" w:rsidR="00BC539E" w:rsidRPr="00BC539E" w:rsidRDefault="00BC539E" w:rsidP="00BC539E">
      <w:pPr>
        <w:spacing w:line="278" w:lineRule="auto"/>
        <w:rPr>
          <w:rFonts w:ascii="Aptos" w:eastAsia="Aptos" w:hAnsi="Aptos" w:cs="Times New Roman"/>
          <w:b/>
          <w:bCs/>
          <w:sz w:val="24"/>
          <w:szCs w:val="24"/>
        </w:rPr>
      </w:pPr>
      <w:r w:rsidRPr="00BC539E">
        <w:rPr>
          <w:rFonts w:ascii="Aptos" w:eastAsia="Aptos" w:hAnsi="Aptos" w:cs="Times New Roman"/>
          <w:b/>
          <w:bCs/>
          <w:sz w:val="24"/>
          <w:szCs w:val="24"/>
        </w:rPr>
        <w:t>Amended (if applicable):</w:t>
      </w:r>
      <w:r w:rsidRPr="00BC539E">
        <w:rPr>
          <w:rFonts w:ascii="Aptos" w:eastAsia="Aptos" w:hAnsi="Aptos" w:cs="Times New Roman"/>
          <w:b/>
          <w:bCs/>
          <w:sz w:val="24"/>
          <w:szCs w:val="24"/>
        </w:rPr>
        <w:tab/>
      </w:r>
    </w:p>
    <w:p w14:paraId="68AFA2B0" w14:textId="77777777" w:rsidR="00BC539E" w:rsidRPr="00BC539E" w:rsidRDefault="00BC539E" w:rsidP="00BC539E">
      <w:pPr>
        <w:spacing w:line="278" w:lineRule="auto"/>
        <w:rPr>
          <w:rFonts w:ascii="Aptos" w:eastAsia="Aptos" w:hAnsi="Aptos" w:cs="Times New Roman"/>
          <w:b/>
          <w:bCs/>
          <w:sz w:val="24"/>
          <w:szCs w:val="24"/>
        </w:rPr>
      </w:pPr>
      <w:r w:rsidRPr="00BC539E">
        <w:rPr>
          <w:rFonts w:ascii="Aptos" w:eastAsia="Aptos" w:hAnsi="Aptos" w:cs="Times New Roman"/>
          <w:b/>
          <w:bCs/>
          <w:sz w:val="24"/>
          <w:szCs w:val="24"/>
        </w:rPr>
        <w:t>Supersedes:</w:t>
      </w:r>
      <w:r w:rsidRPr="00BC539E">
        <w:rPr>
          <w:rFonts w:ascii="Aptos" w:eastAsia="Aptos" w:hAnsi="Aptos" w:cs="Times New Roman"/>
          <w:b/>
          <w:bCs/>
          <w:sz w:val="24"/>
          <w:szCs w:val="24"/>
        </w:rPr>
        <w:tab/>
      </w:r>
    </w:p>
    <w:p w14:paraId="350127DC" w14:textId="77777777" w:rsidR="00BC539E" w:rsidRPr="00BC539E" w:rsidRDefault="00BC539E" w:rsidP="00BC539E">
      <w:pPr>
        <w:spacing w:line="278" w:lineRule="auto"/>
        <w:rPr>
          <w:rFonts w:ascii="Aptos" w:eastAsia="Aptos" w:hAnsi="Aptos" w:cs="Times New Roman"/>
          <w:sz w:val="24"/>
          <w:szCs w:val="24"/>
        </w:rPr>
      </w:pPr>
      <w:r w:rsidRPr="00BC539E">
        <w:rPr>
          <w:rFonts w:ascii="Aptos" w:eastAsia="Aptos" w:hAnsi="Aptos" w:cs="Times New Roman"/>
          <w:b/>
          <w:bCs/>
          <w:sz w:val="24"/>
          <w:szCs w:val="24"/>
        </w:rPr>
        <w:t>Next review due:</w:t>
      </w:r>
      <w:r w:rsidRPr="00BC539E">
        <w:rPr>
          <w:rFonts w:ascii="Aptos" w:eastAsia="Aptos" w:hAnsi="Aptos" w:cs="Times New Roman"/>
          <w:sz w:val="24"/>
          <w:szCs w:val="24"/>
        </w:rPr>
        <w:tab/>
      </w:r>
      <w:r w:rsidRPr="00BC539E">
        <w:rPr>
          <w:rFonts w:ascii="Aptos" w:eastAsia="Aptos" w:hAnsi="Aptos" w:cs="Times New Roman"/>
          <w:sz w:val="24"/>
          <w:szCs w:val="24"/>
        </w:rPr>
        <w:tab/>
      </w:r>
      <w:r w:rsidRPr="00BC539E">
        <w:rPr>
          <w:rFonts w:ascii="Aptos" w:eastAsia="Aptos" w:hAnsi="Aptos" w:cs="Times New Roman"/>
          <w:sz w:val="24"/>
          <w:szCs w:val="24"/>
        </w:rPr>
        <w:tab/>
        <w:t>March 2025</w:t>
      </w:r>
    </w:p>
    <w:p w14:paraId="669AA3B1" w14:textId="460F33EB" w:rsidR="631F33F3" w:rsidRDefault="631F33F3" w:rsidP="631F33F3">
      <w:pPr>
        <w:spacing w:line="264" w:lineRule="auto"/>
        <w:jc w:val="center"/>
      </w:pPr>
    </w:p>
    <w:p w14:paraId="01606A60" w14:textId="40056ADD" w:rsidR="5972AA52" w:rsidRDefault="5972AA52">
      <w:r>
        <w:br w:type="page"/>
      </w:r>
    </w:p>
    <w:p w14:paraId="74D26F6C" w14:textId="7F35383A" w:rsidR="631F33F3" w:rsidRDefault="631F33F3" w:rsidP="631F33F3">
      <w:pPr>
        <w:jc w:val="center"/>
        <w:rPr>
          <w:b/>
          <w:bCs/>
          <w:u w:val="single"/>
        </w:rPr>
      </w:pPr>
    </w:p>
    <w:p w14:paraId="44047821" w14:textId="26A5D13A" w:rsidR="00B8746F" w:rsidRPr="00B8746F" w:rsidRDefault="00027ABE" w:rsidP="009D2974">
      <w:pPr>
        <w:pStyle w:val="Heading2"/>
        <w:numPr>
          <w:ilvl w:val="0"/>
          <w:numId w:val="13"/>
        </w:numPr>
      </w:pPr>
      <w:r>
        <w:t xml:space="preserve">OVERARCHING STRATEGY &amp; </w:t>
      </w:r>
      <w:r w:rsidR="00B8746F" w:rsidRPr="00B8746F">
        <w:t>PURPOSE</w:t>
      </w:r>
    </w:p>
    <w:p w14:paraId="75B37E98" w14:textId="3C1E37DE" w:rsidR="00B8746F" w:rsidRDefault="00B8746F" w:rsidP="00B8746F">
      <w:pPr>
        <w:pStyle w:val="ListParagraph"/>
        <w:numPr>
          <w:ilvl w:val="0"/>
          <w:numId w:val="7"/>
        </w:numPr>
      </w:pPr>
      <w:r>
        <w:t>Optimise financial return from proceeds of Green Park House, while working within the boundaries and ethical considerations of our responsible investment policy and sustainability policy.</w:t>
      </w:r>
    </w:p>
    <w:p w14:paraId="5C781B4D" w14:textId="5A89F872" w:rsidR="00B8746F" w:rsidRDefault="00B8746F" w:rsidP="00B8746F">
      <w:pPr>
        <w:pStyle w:val="ListParagraph"/>
        <w:numPr>
          <w:ilvl w:val="0"/>
          <w:numId w:val="7"/>
        </w:numPr>
      </w:pPr>
      <w:r>
        <w:t>Aim to outperform inflation to ensure funds do not decrease in value in real terms.</w:t>
      </w:r>
    </w:p>
    <w:p w14:paraId="658224BE" w14:textId="5CA5D3E1" w:rsidR="00B8746F" w:rsidRDefault="1DD27914" w:rsidP="00B8746F">
      <w:pPr>
        <w:pStyle w:val="ListParagraph"/>
        <w:numPr>
          <w:ilvl w:val="0"/>
          <w:numId w:val="7"/>
        </w:numPr>
      </w:pPr>
      <w:r>
        <w:t xml:space="preserve">Ring fence cash to back the obligation to maintain </w:t>
      </w:r>
      <w:r w:rsidR="5B5FFD1C">
        <w:t>C</w:t>
      </w:r>
      <w:r>
        <w:t xml:space="preserve">orsham </w:t>
      </w:r>
      <w:r w:rsidR="5B5FFD1C">
        <w:t>C</w:t>
      </w:r>
      <w:r>
        <w:t>ourt over the lifetime of its leas</w:t>
      </w:r>
      <w:r w:rsidR="33C63142">
        <w:t>e</w:t>
      </w:r>
      <w:r>
        <w:t>, which is considered to be £10m + due to the age of the property.</w:t>
      </w:r>
    </w:p>
    <w:p w14:paraId="2F395AC7" w14:textId="1E5DF027" w:rsidR="00B8746F" w:rsidRDefault="00B8746F" w:rsidP="00B8746F">
      <w:pPr>
        <w:pStyle w:val="ListParagraph"/>
        <w:numPr>
          <w:ilvl w:val="0"/>
          <w:numId w:val="7"/>
        </w:numPr>
      </w:pPr>
      <w:r>
        <w:t>Protect cash while plans to re-invest the proceeds of GPH are developed and worked up (3-4 year window) e</w:t>
      </w:r>
      <w:r w:rsidR="00F11DB6">
        <w:t>.</w:t>
      </w:r>
      <w:r>
        <w:t>g</w:t>
      </w:r>
      <w:r w:rsidR="00F11DB6">
        <w:t>.</w:t>
      </w:r>
      <w:r>
        <w:t xml:space="preserve"> Locksbrook 2, Newton Park, accommodation etc.</w:t>
      </w:r>
    </w:p>
    <w:p w14:paraId="250F9652" w14:textId="77777777" w:rsidR="00B8746F" w:rsidRDefault="00B8746F" w:rsidP="00B8746F"/>
    <w:p w14:paraId="73C6723A" w14:textId="1B36006A" w:rsidR="00B8746F" w:rsidRPr="00B8746F" w:rsidRDefault="00B8746F" w:rsidP="009D2974">
      <w:pPr>
        <w:pStyle w:val="Heading2"/>
        <w:numPr>
          <w:ilvl w:val="0"/>
          <w:numId w:val="13"/>
        </w:numPr>
      </w:pPr>
      <w:r w:rsidRPr="00B8746F">
        <w:t>METHOD</w:t>
      </w:r>
      <w:r w:rsidR="00EC5AA1">
        <w:t xml:space="preserve"> OF FUND MANAGEMENT</w:t>
      </w:r>
    </w:p>
    <w:p w14:paraId="6605C4A3" w14:textId="5ECE15BA" w:rsidR="00B8746F" w:rsidRDefault="00B8746F" w:rsidP="00B8746F">
      <w:pPr>
        <w:pStyle w:val="ListParagraph"/>
        <w:numPr>
          <w:ilvl w:val="0"/>
          <w:numId w:val="8"/>
        </w:numPr>
      </w:pPr>
      <w:r w:rsidRPr="00B8746F">
        <w:t xml:space="preserve">Given </w:t>
      </w:r>
      <w:r>
        <w:t>the complexity of the financial markets and instruments available, BSU will use an investment manager to manage the funds on BSU’s behalf.</w:t>
      </w:r>
    </w:p>
    <w:p w14:paraId="3FA56F17" w14:textId="4F727A72" w:rsidR="00B8746F" w:rsidRDefault="00B8746F" w:rsidP="00B8746F">
      <w:pPr>
        <w:pStyle w:val="ListParagraph"/>
        <w:numPr>
          <w:ilvl w:val="0"/>
          <w:numId w:val="8"/>
        </w:numPr>
      </w:pPr>
      <w:r>
        <w:t xml:space="preserve">Following a competitive exercise HSBC </w:t>
      </w:r>
      <w:r w:rsidR="005B7EFD">
        <w:t>P</w:t>
      </w:r>
      <w:r>
        <w:t xml:space="preserve">rivate </w:t>
      </w:r>
      <w:r w:rsidR="005B7EFD">
        <w:t xml:space="preserve">Banking </w:t>
      </w:r>
      <w:r>
        <w:t>were appointed to manage the funds on our behalf.</w:t>
      </w:r>
    </w:p>
    <w:p w14:paraId="4A7B087D" w14:textId="55502E43" w:rsidR="00B8746F" w:rsidRDefault="00B8746F" w:rsidP="00B8746F">
      <w:pPr>
        <w:pStyle w:val="ListParagraph"/>
        <w:numPr>
          <w:ilvl w:val="0"/>
          <w:numId w:val="8"/>
        </w:numPr>
      </w:pPr>
      <w:r>
        <w:t>Risk profiles were built based on feedback from BSU’s Financial Portfolio Committee (which was set up at the time to oversee the set up of the portfolio) and HSBC structured the portfolio in response to this assessment.</w:t>
      </w:r>
    </w:p>
    <w:p w14:paraId="5906DE4B" w14:textId="7CD9BDC9" w:rsidR="00B8746F" w:rsidRDefault="009D1349" w:rsidP="00B8746F">
      <w:pPr>
        <w:pStyle w:val="ListParagraph"/>
        <w:numPr>
          <w:ilvl w:val="0"/>
          <w:numId w:val="8"/>
        </w:numPr>
      </w:pPr>
      <w:r>
        <w:t xml:space="preserve">Red lines </w:t>
      </w:r>
      <w:r w:rsidR="00B8746F">
        <w:t>were also laid down around investments in fossil fuel companies</w:t>
      </w:r>
      <w:r w:rsidR="00F11DB6">
        <w:t xml:space="preserve"> and the </w:t>
      </w:r>
      <w:r w:rsidR="00B8746F">
        <w:t xml:space="preserve">need </w:t>
      </w:r>
      <w:r w:rsidR="00F11DB6">
        <w:t xml:space="preserve">for the portfolio to exhibit positive sustainability characteristics. </w:t>
      </w:r>
    </w:p>
    <w:p w14:paraId="0EAD1300" w14:textId="45A8E4EE" w:rsidR="009D1349" w:rsidRDefault="009D1349" w:rsidP="00B8746F">
      <w:pPr>
        <w:pStyle w:val="ListParagraph"/>
        <w:numPr>
          <w:ilvl w:val="0"/>
          <w:numId w:val="8"/>
        </w:numPr>
      </w:pPr>
      <w:r>
        <w:t>BSU has three investment pots with HSBC:</w:t>
      </w:r>
    </w:p>
    <w:p w14:paraId="5F37A5AA" w14:textId="77777777" w:rsidR="00F11DB6" w:rsidRDefault="00F11DB6" w:rsidP="009D1349">
      <w:pPr>
        <w:pStyle w:val="ListParagraph"/>
        <w:numPr>
          <w:ilvl w:val="1"/>
          <w:numId w:val="8"/>
        </w:numPr>
      </w:pPr>
      <w:r>
        <w:t>Short term:</w:t>
      </w:r>
    </w:p>
    <w:p w14:paraId="3CD3D079" w14:textId="2268F0C1" w:rsidR="009D1349" w:rsidRDefault="009D1349" w:rsidP="00522A0B">
      <w:pPr>
        <w:pStyle w:val="ListParagraph"/>
        <w:numPr>
          <w:ilvl w:val="2"/>
          <w:numId w:val="8"/>
        </w:numPr>
      </w:pPr>
      <w:r>
        <w:t xml:space="preserve">Charities Global Sustainable (Excluding Fossil Fuels) Moderate </w:t>
      </w:r>
    </w:p>
    <w:p w14:paraId="54726CAD" w14:textId="77777777" w:rsidR="00F11DB6" w:rsidRDefault="00F11DB6" w:rsidP="009D1349">
      <w:pPr>
        <w:pStyle w:val="ListParagraph"/>
        <w:numPr>
          <w:ilvl w:val="1"/>
          <w:numId w:val="8"/>
        </w:numPr>
      </w:pPr>
      <w:r>
        <w:t>Medium term:</w:t>
      </w:r>
    </w:p>
    <w:p w14:paraId="6ED0A7D5" w14:textId="659F9622" w:rsidR="009D1349" w:rsidRDefault="009D1349" w:rsidP="00522A0B">
      <w:pPr>
        <w:pStyle w:val="ListParagraph"/>
        <w:numPr>
          <w:ilvl w:val="2"/>
          <w:numId w:val="8"/>
        </w:numPr>
      </w:pPr>
      <w:r>
        <w:t xml:space="preserve">Charities Global Sustainable (Excluding Fossil Fuels) Growth </w:t>
      </w:r>
    </w:p>
    <w:p w14:paraId="13ED1E30" w14:textId="77777777" w:rsidR="00F11DB6" w:rsidRDefault="00F11DB6" w:rsidP="009D1349">
      <w:pPr>
        <w:pStyle w:val="ListParagraph"/>
        <w:numPr>
          <w:ilvl w:val="1"/>
          <w:numId w:val="8"/>
        </w:numPr>
      </w:pPr>
      <w:r>
        <w:t>Long term:</w:t>
      </w:r>
    </w:p>
    <w:p w14:paraId="7B6BF5A4" w14:textId="1230578E" w:rsidR="009D1349" w:rsidRDefault="009D1349" w:rsidP="00522A0B">
      <w:pPr>
        <w:pStyle w:val="ListParagraph"/>
        <w:numPr>
          <w:ilvl w:val="2"/>
          <w:numId w:val="8"/>
        </w:numPr>
      </w:pPr>
      <w:r>
        <w:t>Charities Global Sustainable (Excluding Fossil Fuels) Dynamic</w:t>
      </w:r>
    </w:p>
    <w:p w14:paraId="327ADBF4" w14:textId="1EC95FF5" w:rsidR="00F11DB6" w:rsidRDefault="00F11DB6" w:rsidP="00522A0B">
      <w:pPr>
        <w:pStyle w:val="ListParagraph"/>
        <w:numPr>
          <w:ilvl w:val="2"/>
          <w:numId w:val="8"/>
        </w:numPr>
      </w:pPr>
      <w:r>
        <w:t xml:space="preserve">KKR </w:t>
      </w:r>
      <w:r w:rsidR="001D24AE">
        <w:t>Global Impact Fund II</w:t>
      </w:r>
      <w:r>
        <w:t xml:space="preserve"> </w:t>
      </w:r>
    </w:p>
    <w:p w14:paraId="1FC03D96" w14:textId="77777777" w:rsidR="00B8746F" w:rsidRDefault="00B8746F" w:rsidP="00B8746F"/>
    <w:p w14:paraId="6620520C" w14:textId="398FED1B" w:rsidR="00B8746F" w:rsidRDefault="00B8746F" w:rsidP="009D2974">
      <w:pPr>
        <w:pStyle w:val="Heading2"/>
        <w:numPr>
          <w:ilvl w:val="0"/>
          <w:numId w:val="13"/>
        </w:numPr>
      </w:pPr>
      <w:r w:rsidRPr="00B8746F">
        <w:t xml:space="preserve">HSBC’s </w:t>
      </w:r>
      <w:r w:rsidR="00CD4E77">
        <w:t xml:space="preserve">DISCRETIONARY </w:t>
      </w:r>
      <w:r>
        <w:t>METHODOLOGY</w:t>
      </w:r>
    </w:p>
    <w:p w14:paraId="1DCF78D7" w14:textId="41821695" w:rsidR="00CD4E77" w:rsidRDefault="00CD4E77" w:rsidP="009D2974">
      <w:pPr>
        <w:pStyle w:val="Heading3"/>
      </w:pPr>
      <w:r>
        <w:t xml:space="preserve">Asset allocation </w:t>
      </w:r>
    </w:p>
    <w:p w14:paraId="54988699" w14:textId="77777777" w:rsidR="00CD4E77" w:rsidRPr="00522A0B" w:rsidRDefault="00CD4E77" w:rsidP="00CD4E77">
      <w:pPr>
        <w:pStyle w:val="xmsonormal"/>
        <w:rPr>
          <w:u w:val="single"/>
        </w:rPr>
      </w:pPr>
    </w:p>
    <w:p w14:paraId="4CD9630F" w14:textId="4BDAA3EC" w:rsidR="00CD4E77" w:rsidRDefault="00CD4E77" w:rsidP="00522A0B">
      <w:pPr>
        <w:pStyle w:val="xmsonormal"/>
      </w:pPr>
      <w:r>
        <w:t xml:space="preserve">The investment decisions relating to allocation to different countries / sectors are determined by HSBC’s Asset Allocation (Strategic and Tactical) approach.   All decisions are based on pre-defined metrics which are outlined in BSU’s investment mandate to ensure risk control and consistency of investment decisions. </w:t>
      </w:r>
    </w:p>
    <w:p w14:paraId="3D8A42DA" w14:textId="77777777" w:rsidR="00CD4E77" w:rsidRDefault="00CD4E77" w:rsidP="00CD4E77">
      <w:pPr>
        <w:pStyle w:val="xmsonormal"/>
      </w:pPr>
    </w:p>
    <w:p w14:paraId="176C4DA8" w14:textId="6F5F7EA4" w:rsidR="00CD4E77" w:rsidRDefault="00CD4E77" w:rsidP="00522A0B">
      <w:pPr>
        <w:pStyle w:val="xmsonormal"/>
      </w:pPr>
      <w:r w:rsidRPr="00CD4E77">
        <w:rPr>
          <w:rFonts w:ascii="Symbol" w:hAnsi="Symbol"/>
        </w:rPr>
        <w:t>·</w:t>
      </w:r>
      <w:r w:rsidRPr="00CD4E77">
        <w:rPr>
          <w:rFonts w:ascii="Times New Roman" w:hAnsi="Times New Roman" w:cs="Times New Roman"/>
          <w:sz w:val="14"/>
          <w:szCs w:val="14"/>
        </w:rPr>
        <w:t xml:space="preserve">        </w:t>
      </w:r>
      <w:r w:rsidRPr="00CD4E77">
        <w:rPr>
          <w:b/>
          <w:bCs/>
        </w:rPr>
        <w:t>Strategic Asset Allocation (SAA):</w:t>
      </w:r>
      <w:r>
        <w:t xml:space="preserve"> Portfolios are managed with reference to a long-term SAA. The SAA is determined by reference to our views on the optimal long-term allocation between the relevant asset classes consistent with the client’s risk profile. The SAA is reviewed at least annually and is dependent on prevailing market valuations, volatility, and other factors.</w:t>
      </w:r>
    </w:p>
    <w:p w14:paraId="0775661F" w14:textId="77777777" w:rsidR="00CD4E77" w:rsidRDefault="00CD4E77" w:rsidP="00CD4E77">
      <w:pPr>
        <w:pStyle w:val="xmsonormal"/>
      </w:pPr>
    </w:p>
    <w:p w14:paraId="65122A3B" w14:textId="779AC49B" w:rsidR="00CD4E77" w:rsidRDefault="00CD4E77" w:rsidP="00522A0B">
      <w:pPr>
        <w:pStyle w:val="xmsonormal"/>
      </w:pPr>
      <w:r w:rsidRPr="00CD4E77">
        <w:rPr>
          <w:rFonts w:ascii="Symbol" w:hAnsi="Symbol"/>
        </w:rPr>
        <w:t>·</w:t>
      </w:r>
      <w:r w:rsidRPr="00CD4E77">
        <w:rPr>
          <w:rFonts w:ascii="Times New Roman" w:hAnsi="Times New Roman" w:cs="Times New Roman"/>
          <w:sz w:val="14"/>
          <w:szCs w:val="14"/>
        </w:rPr>
        <w:t xml:space="preserve">        </w:t>
      </w:r>
      <w:r w:rsidRPr="00CD4E77">
        <w:rPr>
          <w:b/>
          <w:bCs/>
        </w:rPr>
        <w:t>Tactical Asset Allocation (TAA):</w:t>
      </w:r>
      <w:r>
        <w:t xml:space="preserve"> The tactical positioning of the portfolio (i.e. its positioning at any given time relative to the SAA) is actively managed with the aim of managing short to medium-</w:t>
      </w:r>
      <w:r>
        <w:lastRenderedPageBreak/>
        <w:t>term investment opportunities and risks. This means that we will review the portfolio periodically and may make short to medium-term adjustments to the allocation between the specified asset classes, as well as to sectors, geographies, and other relevant themes. We will aim to keep the tactical positioning of the portfolio consistent with the level of risk deemed suitable for the client’s risk profile in the prevailing market conditions.</w:t>
      </w:r>
    </w:p>
    <w:p w14:paraId="0D9F7B4C" w14:textId="77777777" w:rsidR="00CD4E77" w:rsidRDefault="00CD4E77" w:rsidP="00CD4E77">
      <w:pPr>
        <w:pStyle w:val="xmsonormal"/>
      </w:pPr>
    </w:p>
    <w:p w14:paraId="4669603F" w14:textId="2DAAD44E" w:rsidR="00CD4E77" w:rsidRDefault="00CD4E77" w:rsidP="00522A0B">
      <w:pPr>
        <w:pStyle w:val="xmsonormal"/>
      </w:pPr>
      <w:r w:rsidRPr="00CD4E77">
        <w:rPr>
          <w:rFonts w:ascii="Symbol" w:hAnsi="Symbol"/>
        </w:rPr>
        <w:t>·</w:t>
      </w:r>
      <w:r w:rsidRPr="00CD4E77">
        <w:rPr>
          <w:rFonts w:ascii="Times New Roman" w:hAnsi="Times New Roman" w:cs="Times New Roman"/>
          <w:sz w:val="14"/>
          <w:szCs w:val="14"/>
        </w:rPr>
        <w:t xml:space="preserve">        </w:t>
      </w:r>
      <w:r>
        <w:t xml:space="preserve">For </w:t>
      </w:r>
      <w:r w:rsidRPr="00CD4E77">
        <w:rPr>
          <w:b/>
          <w:bCs/>
        </w:rPr>
        <w:t>direct equity investments,</w:t>
      </w:r>
      <w:r>
        <w:t xml:space="preserve"> the investment team look for companies that deliver longer term value creation in a sustainable manner, purchased at an attractive valuation with improving prospects at an appropriate level of risk.</w:t>
      </w:r>
    </w:p>
    <w:p w14:paraId="071B92F2" w14:textId="77777777" w:rsidR="00CD4E77" w:rsidRDefault="00CD4E77" w:rsidP="00CD4E77">
      <w:pPr>
        <w:pStyle w:val="xmsonormal"/>
        <w:rPr>
          <w:b/>
          <w:bCs/>
        </w:rPr>
      </w:pPr>
    </w:p>
    <w:p w14:paraId="74E59E3B" w14:textId="32411DA8" w:rsidR="00CD4E77" w:rsidRDefault="00CD4E77" w:rsidP="00CD4E77">
      <w:pPr>
        <w:pStyle w:val="xmsonormal"/>
      </w:pPr>
      <w:r w:rsidRPr="00CD4E77">
        <w:rPr>
          <w:rFonts w:ascii="Symbol" w:hAnsi="Symbol"/>
        </w:rPr>
        <w:t>·</w:t>
      </w:r>
      <w:r w:rsidRPr="00CD4E77">
        <w:rPr>
          <w:rFonts w:ascii="Times New Roman" w:hAnsi="Times New Roman" w:cs="Times New Roman"/>
          <w:sz w:val="14"/>
          <w:szCs w:val="14"/>
        </w:rPr>
        <w:t>      </w:t>
      </w:r>
      <w:r>
        <w:t xml:space="preserve"> The ratio of fixed income to equity is determined by the risk grade of the portfolio. Each individual risk grade has an SAA determined to meet the desired risk. As such, each of the three portfolios was selected based on the agreed risk profile for each of the investment pots (Short, Medium, Long term).</w:t>
      </w:r>
    </w:p>
    <w:p w14:paraId="7BF06A83" w14:textId="77777777" w:rsidR="00CD4E77" w:rsidRDefault="00CD4E77" w:rsidP="45DDE554">
      <w:pPr>
        <w:pStyle w:val="xmsonormal"/>
        <w:rPr>
          <w:highlight w:val="yellow"/>
        </w:rPr>
      </w:pPr>
    </w:p>
    <w:p w14:paraId="4BACCA25" w14:textId="69DEFB28" w:rsidR="3C63648F" w:rsidRPr="00600219" w:rsidRDefault="3C63648F" w:rsidP="009D2974">
      <w:pPr>
        <w:pStyle w:val="Heading2"/>
        <w:numPr>
          <w:ilvl w:val="0"/>
          <w:numId w:val="13"/>
        </w:numPr>
      </w:pPr>
      <w:r w:rsidRPr="00600219">
        <w:t xml:space="preserve">HSBC Mandate – </w:t>
      </w:r>
      <w:r w:rsidR="4950A3D8" w:rsidRPr="00600219">
        <w:t xml:space="preserve">Restrictions in </w:t>
      </w:r>
      <w:r w:rsidRPr="00600219">
        <w:t>place:</w:t>
      </w:r>
    </w:p>
    <w:p w14:paraId="1DA2E2DA" w14:textId="77777777" w:rsidR="00477507" w:rsidRPr="00600219" w:rsidRDefault="00477507" w:rsidP="45DDE554">
      <w:pPr>
        <w:pStyle w:val="xmsolistparagraph"/>
        <w:ind w:left="0"/>
        <w:rPr>
          <w:b/>
          <w:bCs/>
          <w:u w:val="single"/>
        </w:rPr>
      </w:pPr>
    </w:p>
    <w:p w14:paraId="6314A51B" w14:textId="77777777" w:rsidR="00477507" w:rsidRPr="00600219" w:rsidRDefault="00477507" w:rsidP="00477507">
      <w:pPr>
        <w:pStyle w:val="xmsolistparagraph"/>
        <w:ind w:left="0"/>
        <w:rPr>
          <w:b/>
          <w:bCs/>
        </w:rPr>
      </w:pPr>
      <w:r w:rsidRPr="00600219">
        <w:rPr>
          <w:b/>
          <w:bCs/>
        </w:rPr>
        <w:t>Portfolio exclusions:</w:t>
      </w:r>
    </w:p>
    <w:p w14:paraId="2A0ED6CD" w14:textId="77777777" w:rsidR="00477507" w:rsidRPr="00600219" w:rsidRDefault="00477507" w:rsidP="00477507">
      <w:pPr>
        <w:pStyle w:val="xmsolistparagraph"/>
        <w:numPr>
          <w:ilvl w:val="0"/>
          <w:numId w:val="2"/>
        </w:numPr>
      </w:pPr>
      <w:r w:rsidRPr="00600219">
        <w:t>Companies which manufacture banned Weapons</w:t>
      </w:r>
    </w:p>
    <w:p w14:paraId="16532FB9" w14:textId="77777777" w:rsidR="00477507" w:rsidRPr="00600219" w:rsidRDefault="00477507" w:rsidP="00477507">
      <w:pPr>
        <w:pStyle w:val="xmsolistparagraph"/>
        <w:numPr>
          <w:ilvl w:val="0"/>
          <w:numId w:val="2"/>
        </w:numPr>
      </w:pPr>
      <w:r w:rsidRPr="00600219">
        <w:t>Any organisations within the energy sector for GICS methodology</w:t>
      </w:r>
    </w:p>
    <w:p w14:paraId="105A76FF" w14:textId="77777777" w:rsidR="00477507" w:rsidRPr="00600219" w:rsidRDefault="00477507" w:rsidP="00477507">
      <w:pPr>
        <w:pStyle w:val="xmsolistparagraph"/>
        <w:numPr>
          <w:ilvl w:val="0"/>
          <w:numId w:val="2"/>
        </w:numPr>
      </w:pPr>
      <w:r w:rsidRPr="00600219">
        <w:t>Organisations identified as generating:</w:t>
      </w:r>
    </w:p>
    <w:p w14:paraId="7993BD3F" w14:textId="77777777" w:rsidR="00477507" w:rsidRPr="00600219" w:rsidRDefault="00477507" w:rsidP="00477507">
      <w:pPr>
        <w:pStyle w:val="xmsolistparagraph"/>
        <w:numPr>
          <w:ilvl w:val="0"/>
          <w:numId w:val="3"/>
        </w:numPr>
      </w:pPr>
      <w:r w:rsidRPr="00600219">
        <w:t>&gt;10% turnover from thermal coal extraction or power generation</w:t>
      </w:r>
    </w:p>
    <w:p w14:paraId="33D004F6" w14:textId="77777777" w:rsidR="00477507" w:rsidRPr="00600219" w:rsidRDefault="00477507" w:rsidP="00477507">
      <w:pPr>
        <w:pStyle w:val="xmsolistparagraph"/>
        <w:numPr>
          <w:ilvl w:val="0"/>
          <w:numId w:val="3"/>
        </w:numPr>
      </w:pPr>
      <w:r w:rsidRPr="00600219">
        <w:t>&gt;10% turnover from shale energy extraction</w:t>
      </w:r>
    </w:p>
    <w:p w14:paraId="4E5B1A92" w14:textId="77777777" w:rsidR="00477507" w:rsidRPr="00600219" w:rsidRDefault="00477507" w:rsidP="00477507">
      <w:pPr>
        <w:pStyle w:val="xmsolistparagraph"/>
        <w:numPr>
          <w:ilvl w:val="0"/>
          <w:numId w:val="3"/>
        </w:numPr>
      </w:pPr>
      <w:r w:rsidRPr="00600219">
        <w:t>&gt;10% turnover from arctic oil and gas exploration extraction</w:t>
      </w:r>
    </w:p>
    <w:p w14:paraId="18173EA4" w14:textId="77777777" w:rsidR="00477507" w:rsidRPr="00600219" w:rsidRDefault="00477507" w:rsidP="00477507">
      <w:pPr>
        <w:pStyle w:val="xmsolistparagraph"/>
        <w:ind w:left="0"/>
      </w:pPr>
    </w:p>
    <w:p w14:paraId="2997A9CC" w14:textId="4FCF763D" w:rsidR="3C63648F" w:rsidRPr="00600219" w:rsidRDefault="3C63648F" w:rsidP="45DDE554">
      <w:pPr>
        <w:pStyle w:val="xmsolistparagraph"/>
        <w:ind w:left="0"/>
        <w:rPr>
          <w:b/>
          <w:bCs/>
        </w:rPr>
      </w:pPr>
      <w:r w:rsidRPr="00600219">
        <w:rPr>
          <w:b/>
          <w:bCs/>
        </w:rPr>
        <w:t xml:space="preserve">Direct Equity Sector </w:t>
      </w:r>
      <w:r w:rsidR="0AB3B791" w:rsidRPr="00600219">
        <w:rPr>
          <w:b/>
          <w:bCs/>
        </w:rPr>
        <w:t>exclusions companies which have</w:t>
      </w:r>
      <w:r w:rsidRPr="00600219">
        <w:rPr>
          <w:b/>
          <w:bCs/>
        </w:rPr>
        <w:t>:</w:t>
      </w:r>
    </w:p>
    <w:p w14:paraId="680CBBDD" w14:textId="7926C219" w:rsidR="6337BEB1" w:rsidRPr="00600219" w:rsidRDefault="6337BEB1" w:rsidP="45DDE554">
      <w:pPr>
        <w:pStyle w:val="xmsolistparagraph"/>
        <w:numPr>
          <w:ilvl w:val="0"/>
          <w:numId w:val="1"/>
        </w:numPr>
      </w:pPr>
      <w:r w:rsidRPr="00600219">
        <w:t>&gt;10% of revenue from manufacture of arms</w:t>
      </w:r>
    </w:p>
    <w:p w14:paraId="3A8DB752" w14:textId="203C630B" w:rsidR="6337BEB1" w:rsidRPr="00600219" w:rsidRDefault="6337BEB1" w:rsidP="45DDE554">
      <w:pPr>
        <w:pStyle w:val="xmsolistparagraph"/>
        <w:numPr>
          <w:ilvl w:val="0"/>
          <w:numId w:val="1"/>
        </w:numPr>
      </w:pPr>
      <w:r w:rsidRPr="00600219">
        <w:t>&gt;10% of revenue from manufacture of tobacco</w:t>
      </w:r>
    </w:p>
    <w:p w14:paraId="120950B1" w14:textId="5C8F723C" w:rsidR="4DABA2B1" w:rsidRPr="00600219" w:rsidRDefault="4DABA2B1" w:rsidP="45DDE554">
      <w:pPr>
        <w:pStyle w:val="xmsolistparagraph"/>
        <w:numPr>
          <w:ilvl w:val="0"/>
          <w:numId w:val="1"/>
        </w:numPr>
      </w:pPr>
      <w:r w:rsidRPr="00600219">
        <w:t>&gt;10% of revenue from the m</w:t>
      </w:r>
      <w:r w:rsidR="3C63648F" w:rsidRPr="00600219">
        <w:t>anufacture of alcohol</w:t>
      </w:r>
    </w:p>
    <w:p w14:paraId="3FA011C0" w14:textId="6EC9E8AD" w:rsidR="345C58BB" w:rsidRPr="00600219" w:rsidRDefault="345C58BB" w:rsidP="45DDE554">
      <w:pPr>
        <w:pStyle w:val="xmsolistparagraph"/>
        <w:numPr>
          <w:ilvl w:val="0"/>
          <w:numId w:val="1"/>
        </w:numPr>
      </w:pPr>
      <w:r w:rsidRPr="00600219">
        <w:t>&gt;10% of revenue from gambling</w:t>
      </w:r>
    </w:p>
    <w:p w14:paraId="4F08CB84" w14:textId="6CAA08D8" w:rsidR="345C58BB" w:rsidRPr="00600219" w:rsidRDefault="345C58BB" w:rsidP="45DDE554">
      <w:pPr>
        <w:pStyle w:val="xmsolistparagraph"/>
        <w:numPr>
          <w:ilvl w:val="0"/>
          <w:numId w:val="1"/>
        </w:numPr>
      </w:pPr>
      <w:r w:rsidRPr="00600219">
        <w:t xml:space="preserve">&gt;10% of revenue from adult </w:t>
      </w:r>
      <w:r w:rsidR="3C0FFE1E" w:rsidRPr="00600219">
        <w:t>entertainment</w:t>
      </w:r>
    </w:p>
    <w:p w14:paraId="78D0FA0C" w14:textId="6ACDE14A" w:rsidR="5DB0CEC2" w:rsidRDefault="5DB0CEC2" w:rsidP="45DDE554">
      <w:pPr>
        <w:pStyle w:val="xmsolistparagraph"/>
        <w:numPr>
          <w:ilvl w:val="0"/>
          <w:numId w:val="1"/>
        </w:numPr>
      </w:pPr>
      <w:r w:rsidRPr="00600219">
        <w:t xml:space="preserve">Violations or risk of violations of the </w:t>
      </w:r>
      <w:r w:rsidR="6384BB0F" w:rsidRPr="00600219">
        <w:t>United Nations Global Compact Principles 1-10</w:t>
      </w:r>
      <w:r w:rsidR="00BC539E">
        <w:rPr>
          <w:noProof/>
        </w:rPr>
        <w:t>:</w:t>
      </w:r>
    </w:p>
    <w:p w14:paraId="3C51E38D" w14:textId="77777777" w:rsidR="00BC539E" w:rsidRDefault="00BC539E" w:rsidP="00BC539E">
      <w:pPr>
        <w:pStyle w:val="xmsolistparagraph"/>
      </w:pPr>
    </w:p>
    <w:p w14:paraId="645BE92C" w14:textId="77777777" w:rsidR="00BC539E" w:rsidRPr="00BC539E" w:rsidRDefault="00BC539E" w:rsidP="00BC539E">
      <w:pPr>
        <w:pStyle w:val="xmsolistparagraph"/>
        <w:ind w:left="851"/>
        <w:rPr>
          <w:sz w:val="20"/>
          <w:szCs w:val="20"/>
        </w:rPr>
      </w:pPr>
      <w:r w:rsidRPr="00BC539E">
        <w:rPr>
          <w:sz w:val="20"/>
          <w:szCs w:val="20"/>
        </w:rPr>
        <w:t xml:space="preserve">Principle 1: Businesses should support and respect the protection of internationally proclaimed human </w:t>
      </w:r>
      <w:proofErr w:type="gramStart"/>
      <w:r w:rsidRPr="00BC539E">
        <w:rPr>
          <w:sz w:val="20"/>
          <w:szCs w:val="20"/>
        </w:rPr>
        <w:t>rights;</w:t>
      </w:r>
      <w:proofErr w:type="gramEnd"/>
    </w:p>
    <w:p w14:paraId="350D1912" w14:textId="77777777" w:rsidR="00BC539E" w:rsidRPr="00BC539E" w:rsidRDefault="00BC539E" w:rsidP="00BC539E">
      <w:pPr>
        <w:pStyle w:val="xmsolistparagraph"/>
        <w:ind w:left="851"/>
        <w:rPr>
          <w:sz w:val="20"/>
          <w:szCs w:val="20"/>
        </w:rPr>
      </w:pPr>
      <w:r w:rsidRPr="00BC539E">
        <w:rPr>
          <w:sz w:val="20"/>
          <w:szCs w:val="20"/>
        </w:rPr>
        <w:t xml:space="preserve">Principle 2: makes sure that they are not complicit in human rights </w:t>
      </w:r>
      <w:proofErr w:type="gramStart"/>
      <w:r w:rsidRPr="00BC539E">
        <w:rPr>
          <w:sz w:val="20"/>
          <w:szCs w:val="20"/>
        </w:rPr>
        <w:t>abuses;</w:t>
      </w:r>
      <w:proofErr w:type="gramEnd"/>
    </w:p>
    <w:p w14:paraId="5287AA72" w14:textId="77777777" w:rsidR="00BC539E" w:rsidRPr="00BC539E" w:rsidRDefault="00BC539E" w:rsidP="00BC539E">
      <w:pPr>
        <w:pStyle w:val="xmsolistparagraph"/>
        <w:ind w:left="851"/>
        <w:rPr>
          <w:sz w:val="20"/>
          <w:szCs w:val="20"/>
        </w:rPr>
      </w:pPr>
      <w:r w:rsidRPr="00BC539E">
        <w:rPr>
          <w:sz w:val="20"/>
          <w:szCs w:val="20"/>
        </w:rPr>
        <w:t xml:space="preserve">Principle 3: businesses should uphold the freedom of association and the effective recognition of the right to collective </w:t>
      </w:r>
      <w:proofErr w:type="gramStart"/>
      <w:r w:rsidRPr="00BC539E">
        <w:rPr>
          <w:sz w:val="20"/>
          <w:szCs w:val="20"/>
        </w:rPr>
        <w:t>bargaining;</w:t>
      </w:r>
      <w:proofErr w:type="gramEnd"/>
    </w:p>
    <w:p w14:paraId="39A2A843" w14:textId="77777777" w:rsidR="00BC539E" w:rsidRPr="00BC539E" w:rsidRDefault="00BC539E" w:rsidP="00BC539E">
      <w:pPr>
        <w:pStyle w:val="xmsolistparagraph"/>
        <w:ind w:left="851"/>
        <w:rPr>
          <w:sz w:val="20"/>
          <w:szCs w:val="20"/>
        </w:rPr>
      </w:pPr>
      <w:r w:rsidRPr="00BC539E">
        <w:rPr>
          <w:sz w:val="20"/>
          <w:szCs w:val="20"/>
        </w:rPr>
        <w:t xml:space="preserve">Principle 4: the elimination of all forms of forced and compulsory </w:t>
      </w:r>
      <w:proofErr w:type="gramStart"/>
      <w:r w:rsidRPr="00BC539E">
        <w:rPr>
          <w:sz w:val="20"/>
          <w:szCs w:val="20"/>
        </w:rPr>
        <w:t>labour;</w:t>
      </w:r>
      <w:proofErr w:type="gramEnd"/>
    </w:p>
    <w:p w14:paraId="301DEBCE" w14:textId="77777777" w:rsidR="00BC539E" w:rsidRPr="00BC539E" w:rsidRDefault="00BC539E" w:rsidP="00BC539E">
      <w:pPr>
        <w:pStyle w:val="xmsolistparagraph"/>
        <w:ind w:left="851"/>
        <w:rPr>
          <w:sz w:val="20"/>
          <w:szCs w:val="20"/>
        </w:rPr>
      </w:pPr>
      <w:r w:rsidRPr="00BC539E">
        <w:rPr>
          <w:sz w:val="20"/>
          <w:szCs w:val="20"/>
        </w:rPr>
        <w:t xml:space="preserve">Principle 5: the effective abolition of child </w:t>
      </w:r>
      <w:proofErr w:type="gramStart"/>
      <w:r w:rsidRPr="00BC539E">
        <w:rPr>
          <w:sz w:val="20"/>
          <w:szCs w:val="20"/>
        </w:rPr>
        <w:t>labour;</w:t>
      </w:r>
      <w:proofErr w:type="gramEnd"/>
    </w:p>
    <w:p w14:paraId="06EC1309" w14:textId="77777777" w:rsidR="00BC539E" w:rsidRPr="00BC539E" w:rsidRDefault="00BC539E" w:rsidP="00BC539E">
      <w:pPr>
        <w:pStyle w:val="xmsolistparagraph"/>
        <w:ind w:left="851"/>
        <w:rPr>
          <w:sz w:val="20"/>
          <w:szCs w:val="20"/>
        </w:rPr>
      </w:pPr>
      <w:r w:rsidRPr="00BC539E">
        <w:rPr>
          <w:sz w:val="20"/>
          <w:szCs w:val="20"/>
        </w:rPr>
        <w:t xml:space="preserve">Principle 6: the elimination of discrimination in respect of employment and </w:t>
      </w:r>
      <w:proofErr w:type="gramStart"/>
      <w:r w:rsidRPr="00BC539E">
        <w:rPr>
          <w:sz w:val="20"/>
          <w:szCs w:val="20"/>
        </w:rPr>
        <w:t>occupation;</w:t>
      </w:r>
      <w:proofErr w:type="gramEnd"/>
    </w:p>
    <w:p w14:paraId="29A2E18A" w14:textId="77777777" w:rsidR="00BC539E" w:rsidRPr="00BC539E" w:rsidRDefault="00BC539E" w:rsidP="00BC539E">
      <w:pPr>
        <w:pStyle w:val="xmsolistparagraph"/>
        <w:ind w:left="851"/>
        <w:rPr>
          <w:sz w:val="20"/>
          <w:szCs w:val="20"/>
        </w:rPr>
      </w:pPr>
      <w:r w:rsidRPr="00BC539E">
        <w:rPr>
          <w:sz w:val="20"/>
          <w:szCs w:val="20"/>
        </w:rPr>
        <w:t xml:space="preserve">businesses should support a precautionary approach to environmental </w:t>
      </w:r>
      <w:proofErr w:type="gramStart"/>
      <w:r w:rsidRPr="00BC539E">
        <w:rPr>
          <w:sz w:val="20"/>
          <w:szCs w:val="20"/>
        </w:rPr>
        <w:t>challenges;</w:t>
      </w:r>
      <w:proofErr w:type="gramEnd"/>
    </w:p>
    <w:p w14:paraId="68B3377C" w14:textId="77777777" w:rsidR="00BC539E" w:rsidRPr="00BC539E" w:rsidRDefault="00BC539E" w:rsidP="00BC539E">
      <w:pPr>
        <w:pStyle w:val="xmsolistparagraph"/>
        <w:ind w:left="851"/>
        <w:rPr>
          <w:sz w:val="20"/>
          <w:szCs w:val="20"/>
        </w:rPr>
      </w:pPr>
      <w:r w:rsidRPr="00BC539E">
        <w:rPr>
          <w:sz w:val="20"/>
          <w:szCs w:val="20"/>
        </w:rPr>
        <w:t xml:space="preserve">Principle 8: undertake initiatives to promote greater environmental </w:t>
      </w:r>
      <w:proofErr w:type="gramStart"/>
      <w:r w:rsidRPr="00BC539E">
        <w:rPr>
          <w:sz w:val="20"/>
          <w:szCs w:val="20"/>
        </w:rPr>
        <w:t>responsibility;</w:t>
      </w:r>
      <w:proofErr w:type="gramEnd"/>
    </w:p>
    <w:p w14:paraId="3E646D68" w14:textId="77777777" w:rsidR="00BC539E" w:rsidRPr="00BC539E" w:rsidRDefault="00BC539E" w:rsidP="00BC539E">
      <w:pPr>
        <w:pStyle w:val="xmsolistparagraph"/>
        <w:ind w:left="851"/>
        <w:rPr>
          <w:sz w:val="20"/>
          <w:szCs w:val="20"/>
        </w:rPr>
      </w:pPr>
      <w:r w:rsidRPr="00BC539E">
        <w:rPr>
          <w:sz w:val="20"/>
          <w:szCs w:val="20"/>
        </w:rPr>
        <w:t>Principle 9: encourage the development and diffusion of environmentally friendly technologies; and</w:t>
      </w:r>
    </w:p>
    <w:p w14:paraId="3FCF23CF" w14:textId="07D499F0" w:rsidR="00BC539E" w:rsidRPr="00BC539E" w:rsidRDefault="00BC539E" w:rsidP="00BC539E">
      <w:pPr>
        <w:pStyle w:val="xmsolistparagraph"/>
        <w:ind w:left="851"/>
        <w:rPr>
          <w:sz w:val="20"/>
          <w:szCs w:val="20"/>
        </w:rPr>
      </w:pPr>
      <w:r w:rsidRPr="00BC539E">
        <w:rPr>
          <w:sz w:val="20"/>
          <w:szCs w:val="20"/>
        </w:rPr>
        <w:t>Principle 10: businesses should work against corruption in all its forms, including extortion and bribery.</w:t>
      </w:r>
    </w:p>
    <w:p w14:paraId="395DD462" w14:textId="218A69EC" w:rsidR="45DDE554" w:rsidRDefault="45DDE554" w:rsidP="45DDE554">
      <w:pPr>
        <w:pStyle w:val="xmsolistparagraph"/>
        <w:rPr>
          <w:highlight w:val="yellow"/>
        </w:rPr>
      </w:pPr>
    </w:p>
    <w:p w14:paraId="0139C0B6" w14:textId="7200782B" w:rsidR="359D4545" w:rsidRPr="00600219" w:rsidRDefault="359D4545" w:rsidP="45DDE554">
      <w:pPr>
        <w:pStyle w:val="xmsolistparagraph"/>
        <w:ind w:left="0"/>
      </w:pPr>
      <w:r w:rsidRPr="00600219">
        <w:t xml:space="preserve">These exclusions are reported on via HSBC reporting (See below example from </w:t>
      </w:r>
      <w:r w:rsidR="7B6C20C6" w:rsidRPr="00600219">
        <w:t>May 2024):</w:t>
      </w:r>
    </w:p>
    <w:p w14:paraId="1CD429D9" w14:textId="77487A5F" w:rsidR="45DDE554" w:rsidRDefault="45DDE554" w:rsidP="45DDE554">
      <w:pPr>
        <w:pStyle w:val="xmsolistparagraph"/>
        <w:ind w:left="0"/>
        <w:rPr>
          <w:highlight w:val="yellow"/>
        </w:rPr>
      </w:pPr>
    </w:p>
    <w:p w14:paraId="0DCC276B" w14:textId="7BB719E9" w:rsidR="7B6C20C6" w:rsidRDefault="7B6C20C6" w:rsidP="45DDE554">
      <w:pPr>
        <w:pStyle w:val="xmsolistparagraph"/>
        <w:ind w:left="0"/>
      </w:pPr>
      <w:r>
        <w:rPr>
          <w:noProof/>
        </w:rPr>
        <w:lastRenderedPageBreak/>
        <w:drawing>
          <wp:inline distT="0" distB="0" distL="0" distR="0" wp14:anchorId="1FC4BEEE" wp14:editId="3DBA73B6">
            <wp:extent cx="4665205" cy="2742992"/>
            <wp:effectExtent l="0" t="0" r="2540" b="1905"/>
            <wp:docPr id="702083438" name="Picture 2" descr="A graph showing &#10;&#10;Portfolio exclusions:&#10;Banned Weapons 0%&#10;Arctic Oil 0%&#10;Thermal Coal Extraction 0%&#10;Thermal Coal Power Generation 0%&#10;Shale Energy Extraction 0%&#10;GICS Energy Sector 0.4%&#10;&#10;Direct Equity exclusions:&#10;Alcohol Production 0%&#10;Gambling 0%&#10;Adult Entertainment 0%&#10;Manufacture of armaments o%&#10;Violations/at Risk of violations of UNGC 0%&#10;Tobacco Production 0%&#10;&#10;Source: Sustainalytics, data as of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83438" name="Picture 2" descr="A graph showing &#10;&#10;Portfolio exclusions:&#10;Banned Weapons 0%&#10;Arctic Oil 0%&#10;Thermal Coal Extraction 0%&#10;Thermal Coal Power Generation 0%&#10;Shale Energy Extraction 0%&#10;GICS Energy Sector 0.4%&#10;&#10;Direct Equity exclusions:&#10;Alcohol Production 0%&#10;Gambling 0%&#10;Adult Entertainment 0%&#10;Manufacture of armaments o%&#10;Violations/at Risk of violations of UNGC 0%&#10;Tobacco Production 0%&#10;&#10;Source: Sustainalytics, data as of May 2024"/>
                    <pic:cNvPicPr/>
                  </pic:nvPicPr>
                  <pic:blipFill>
                    <a:blip r:embed="rId10">
                      <a:extLst>
                        <a:ext uri="{28A0092B-C50C-407E-A947-70E740481C1C}">
                          <a14:useLocalDpi xmlns:a14="http://schemas.microsoft.com/office/drawing/2010/main" val="0"/>
                        </a:ext>
                      </a:extLst>
                    </a:blip>
                    <a:stretch>
                      <a:fillRect/>
                    </a:stretch>
                  </pic:blipFill>
                  <pic:spPr>
                    <a:xfrm>
                      <a:off x="0" y="0"/>
                      <a:ext cx="4665205" cy="2742992"/>
                    </a:xfrm>
                    <a:prstGeom prst="rect">
                      <a:avLst/>
                    </a:prstGeom>
                  </pic:spPr>
                </pic:pic>
              </a:graphicData>
            </a:graphic>
          </wp:inline>
        </w:drawing>
      </w:r>
    </w:p>
    <w:p w14:paraId="7833E212" w14:textId="199791FD" w:rsidR="45DDE554" w:rsidRDefault="45DDE554" w:rsidP="45DDE554">
      <w:pPr>
        <w:pStyle w:val="xmsolistparagraph"/>
        <w:ind w:left="0"/>
        <w:rPr>
          <w:b/>
          <w:bCs/>
          <w:u w:val="single"/>
        </w:rPr>
      </w:pPr>
    </w:p>
    <w:p w14:paraId="27F44235" w14:textId="089E1AD6" w:rsidR="00CD4E77" w:rsidRPr="00522A0B" w:rsidRDefault="00CD4E77" w:rsidP="009D2974">
      <w:pPr>
        <w:pStyle w:val="Heading3"/>
      </w:pPr>
      <w:r w:rsidRPr="00522A0B">
        <w:t>Sustainability</w:t>
      </w:r>
    </w:p>
    <w:p w14:paraId="433AC792" w14:textId="77777777" w:rsidR="00CD4E77" w:rsidRPr="00522A0B" w:rsidRDefault="00CD4E77" w:rsidP="00522A0B">
      <w:pPr>
        <w:pStyle w:val="xmsolistparagraph"/>
        <w:ind w:left="0"/>
        <w:rPr>
          <w:b/>
          <w:bCs/>
        </w:rPr>
      </w:pPr>
    </w:p>
    <w:p w14:paraId="602937D3" w14:textId="08E46326" w:rsidR="005B7EFD" w:rsidRPr="00600219" w:rsidRDefault="752E97B5" w:rsidP="00522A0B">
      <w:pPr>
        <w:pStyle w:val="xmsonormal"/>
      </w:pPr>
      <w:r w:rsidRPr="00600219">
        <w:t xml:space="preserve">As well as the exclusions in place above </w:t>
      </w:r>
      <w:r w:rsidR="3BE0E749" w:rsidRPr="00600219">
        <w:t>HSBC as our investment fund managers have</w:t>
      </w:r>
      <w:r w:rsidR="005B7EFD" w:rsidRPr="00600219">
        <w:t xml:space="preserve"> </w:t>
      </w:r>
      <w:bookmarkStart w:id="0" w:name="_Hlk174521589"/>
      <w:r w:rsidR="005B7EFD" w:rsidRPr="00600219">
        <w:t>an objective to achieve an improvement in ESG score and reduction in carbon intensity relative to a reference portfolio, while still ensuring the Portfolio is well diversified and holds the mix of assets that HSBC believe will deliver the best risk-adjusted returns.</w:t>
      </w:r>
      <w:bookmarkEnd w:id="0"/>
    </w:p>
    <w:p w14:paraId="685C0C5C" w14:textId="1D792F37" w:rsidR="00F11DB6" w:rsidRPr="00600219" w:rsidRDefault="00F11DB6" w:rsidP="00522A0B">
      <w:pPr>
        <w:pStyle w:val="xmsonormal"/>
      </w:pPr>
    </w:p>
    <w:p w14:paraId="52710E23" w14:textId="02096F40" w:rsidR="00BA5C38" w:rsidRPr="00600219" w:rsidRDefault="00CD4E77" w:rsidP="00522A0B">
      <w:pPr>
        <w:pStyle w:val="xmsonormal"/>
      </w:pPr>
      <w:r w:rsidRPr="00600219">
        <w:t>S</w:t>
      </w:r>
      <w:r w:rsidR="00F11DB6" w:rsidRPr="00600219">
        <w:t>ustainable criteria are applied across fulfilment vehicles</w:t>
      </w:r>
      <w:r w:rsidR="638E785D" w:rsidRPr="00600219">
        <w:t xml:space="preserve"> (direct equity holdings, </w:t>
      </w:r>
      <w:r w:rsidR="1292E5FB" w:rsidRPr="00600219">
        <w:t xml:space="preserve">equity </w:t>
      </w:r>
      <w:r w:rsidR="638E785D" w:rsidRPr="00600219">
        <w:t>fund holdings, bond holdings, bond fund holdings)</w:t>
      </w:r>
      <w:r w:rsidR="00F11DB6" w:rsidRPr="00600219">
        <w:t>. These sustainable criteria will include ESG integration and investment restrictions on the direct equity allocation and an Energy investment restriction on indirect investments</w:t>
      </w:r>
      <w:r w:rsidR="00BA5C38" w:rsidRPr="00600219">
        <w:t>.</w:t>
      </w:r>
    </w:p>
    <w:p w14:paraId="192209F3" w14:textId="39812242" w:rsidR="45DDE554" w:rsidRPr="00600219" w:rsidRDefault="45DDE554" w:rsidP="45DDE554">
      <w:pPr>
        <w:pStyle w:val="xmsonormal"/>
      </w:pPr>
    </w:p>
    <w:p w14:paraId="671EA4DB" w14:textId="38D2BD22" w:rsidR="609C056C" w:rsidRPr="00F62160" w:rsidRDefault="609C056C" w:rsidP="45DDE554">
      <w:pPr>
        <w:pStyle w:val="xmsonormal"/>
      </w:pPr>
      <w:r w:rsidRPr="00600219">
        <w:t>The indirect allocations will use a combination of sustainable investment methods including, but not limited to, norms-based screening, exclusionary screening ESG integration and positive screening.</w:t>
      </w:r>
    </w:p>
    <w:p w14:paraId="70807322" w14:textId="0A96529A" w:rsidR="45DDE554" w:rsidRPr="00600219" w:rsidRDefault="45DDE554" w:rsidP="45DDE554">
      <w:pPr>
        <w:pStyle w:val="xmsonormal"/>
      </w:pPr>
    </w:p>
    <w:p w14:paraId="442271F9" w14:textId="77777777" w:rsidR="00BA5C38" w:rsidRPr="00600219" w:rsidRDefault="00BA5C38" w:rsidP="00522A0B">
      <w:pPr>
        <w:pStyle w:val="xmsonormal"/>
      </w:pPr>
    </w:p>
    <w:p w14:paraId="72A9907D" w14:textId="559581DF" w:rsidR="002434AB" w:rsidRPr="00600219" w:rsidRDefault="609C056C" w:rsidP="45DDE554">
      <w:pPr>
        <w:pStyle w:val="xmsonormal"/>
        <w:rPr>
          <w:i/>
          <w:iCs/>
        </w:rPr>
      </w:pPr>
      <w:r w:rsidRPr="00600219">
        <w:rPr>
          <w:i/>
          <w:iCs/>
        </w:rPr>
        <w:t xml:space="preserve">NB: </w:t>
      </w:r>
      <w:r w:rsidR="00BA5C38" w:rsidRPr="00600219">
        <w:rPr>
          <w:i/>
          <w:iCs/>
        </w:rPr>
        <w:t xml:space="preserve">Direct </w:t>
      </w:r>
      <w:r w:rsidR="00D63C81" w:rsidRPr="00600219">
        <w:rPr>
          <w:i/>
          <w:iCs/>
        </w:rPr>
        <w:t>equity allocation means where BSU holds shares in companies directly.  Indirect eq</w:t>
      </w:r>
      <w:r w:rsidR="003D17B1" w:rsidRPr="00600219">
        <w:rPr>
          <w:i/>
          <w:iCs/>
        </w:rPr>
        <w:t xml:space="preserve">uity or bond allocation means where BSU has bought into an investment fund which will hold a variety of </w:t>
      </w:r>
      <w:r w:rsidR="002434AB" w:rsidRPr="00600219">
        <w:rPr>
          <w:i/>
          <w:iCs/>
        </w:rPr>
        <w:t>equities</w:t>
      </w:r>
      <w:r w:rsidR="58C13E40" w:rsidRPr="00600219">
        <w:rPr>
          <w:i/>
          <w:iCs/>
        </w:rPr>
        <w:t>,</w:t>
      </w:r>
      <w:r w:rsidR="002434AB" w:rsidRPr="00600219">
        <w:rPr>
          <w:i/>
          <w:iCs/>
        </w:rPr>
        <w:t xml:space="preserve"> bonds</w:t>
      </w:r>
      <w:r w:rsidR="4DED02BC" w:rsidRPr="00600219">
        <w:rPr>
          <w:i/>
          <w:iCs/>
        </w:rPr>
        <w:t xml:space="preserve"> or other asset classes</w:t>
      </w:r>
      <w:r w:rsidR="002434AB" w:rsidRPr="00600219">
        <w:rPr>
          <w:i/>
          <w:iCs/>
        </w:rPr>
        <w:t xml:space="preserve"> as determined by that particular fund’s strategy.  </w:t>
      </w:r>
    </w:p>
    <w:p w14:paraId="50192C37" w14:textId="77777777" w:rsidR="002434AB" w:rsidRDefault="002434AB" w:rsidP="00522A0B">
      <w:pPr>
        <w:pStyle w:val="xmsonormal"/>
        <w:rPr>
          <w:highlight w:val="yellow"/>
        </w:rPr>
      </w:pPr>
    </w:p>
    <w:p w14:paraId="0AD06B0D" w14:textId="2917ED47" w:rsidR="631F33F3" w:rsidRDefault="631F33F3" w:rsidP="631F33F3">
      <w:pPr>
        <w:pStyle w:val="xmsonormal"/>
      </w:pPr>
    </w:p>
    <w:p w14:paraId="69F9D1BE" w14:textId="6D1C77DC" w:rsidR="089A0A57" w:rsidRDefault="089A0A57" w:rsidP="45DDE554">
      <w:pPr>
        <w:pStyle w:val="xmsonormal"/>
      </w:pPr>
      <w:r>
        <w:t>Th</w:t>
      </w:r>
      <w:r w:rsidR="6F6339F9">
        <w:t xml:space="preserve">e objective of achieving an improved </w:t>
      </w:r>
      <w:r>
        <w:t xml:space="preserve">ESG score is calculated using </w:t>
      </w:r>
      <w:r w:rsidR="00477507">
        <w:t xml:space="preserve">MSCI data and carbon intensity using S&amp;P Trucost data. </w:t>
      </w:r>
    </w:p>
    <w:p w14:paraId="41D7102C" w14:textId="77777777" w:rsidR="00CD4E77" w:rsidRDefault="00CD4E77" w:rsidP="00CD4E77">
      <w:pPr>
        <w:pStyle w:val="xmsonormal"/>
      </w:pPr>
    </w:p>
    <w:p w14:paraId="7E5DD369" w14:textId="52F7A899" w:rsidR="00F11DB6" w:rsidRDefault="00F11DB6">
      <w:pPr>
        <w:pStyle w:val="xmsonormal"/>
        <w:ind w:left="360"/>
      </w:pPr>
    </w:p>
    <w:p w14:paraId="7951036E" w14:textId="3692139A" w:rsidR="45DDE554" w:rsidRDefault="45DDE554" w:rsidP="45DDE554">
      <w:pPr>
        <w:pStyle w:val="xmsonormal"/>
        <w:ind w:left="360"/>
      </w:pPr>
    </w:p>
    <w:p w14:paraId="42D0FE33" w14:textId="684A537A" w:rsidR="24956C09" w:rsidRDefault="00477507" w:rsidP="00600219">
      <w:pPr>
        <w:pStyle w:val="xmsonormal"/>
      </w:pPr>
      <w:r>
        <w:t>BSU’s ESG and carbon s</w:t>
      </w:r>
      <w:r w:rsidR="24956C09">
        <w:t xml:space="preserve">coring of investments against </w:t>
      </w:r>
      <w:r>
        <w:t xml:space="preserve">a reference market portfolio </w:t>
      </w:r>
      <w:r w:rsidR="24956C09">
        <w:t xml:space="preserve">as </w:t>
      </w:r>
      <w:r>
        <w:t>at</w:t>
      </w:r>
      <w:r w:rsidR="24956C09">
        <w:t xml:space="preserve"> May 2024: </w:t>
      </w:r>
    </w:p>
    <w:p w14:paraId="7DC07856" w14:textId="28A6497F" w:rsidR="45DDE554" w:rsidRDefault="45DDE554" w:rsidP="45DDE554">
      <w:pPr>
        <w:pStyle w:val="xmsonormal"/>
        <w:ind w:left="360"/>
      </w:pPr>
    </w:p>
    <w:p w14:paraId="40A0ED92" w14:textId="6B05E43D" w:rsidR="24956C09" w:rsidRDefault="24956C09" w:rsidP="45DDE554">
      <w:pPr>
        <w:pStyle w:val="xmsonormal"/>
        <w:ind w:left="360"/>
        <w:rPr>
          <w:b/>
          <w:bCs/>
          <w:u w:val="single"/>
        </w:rPr>
      </w:pPr>
      <w:r>
        <w:rPr>
          <w:noProof/>
        </w:rPr>
        <w:lastRenderedPageBreak/>
        <w:drawing>
          <wp:inline distT="0" distB="0" distL="0" distR="0" wp14:anchorId="1076633D" wp14:editId="4A970C99">
            <wp:extent cx="2477553" cy="2609850"/>
            <wp:effectExtent l="0" t="0" r="0" b="0"/>
            <wp:docPr id="563168313" name="Picture 4" descr="Screenshot of graph showing that:&#10;As at 31st May 2024, the MCSI ESG Score for BSU investments stood at 7.41 which is an 11% improvement on a reference market portfolio which scored 6.65.&#10; &#10;As at 31st May 2024, according to S&amp;P Trucost data, the corporate carbon intensity of BSU investments stood at 35 carbon dioxide equivalent per million US dollar revenue which is 72% lower than the reference market portfolio which stood at 124 carbon dioxide equivalent per million USD revenue. Carbon dioxide equivalent has been calculated using scope 1 and 2 emission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68313" name="Picture 4" descr="Screenshot of graph showing that:&#10;As at 31st May 2024, the MCSI ESG Score for BSU investments stood at 7.41 which is an 11% improvement on a reference market portfolio which scored 6.65.&#10; &#10;As at 31st May 2024, according to S&amp;P Trucost data, the corporate carbon intensity of BSU investments stood at 35 carbon dioxide equivalent per million US dollar revenue which is 72% lower than the reference market portfolio which stood at 124 carbon dioxide equivalent per million USD revenue. Carbon dioxide equivalent has been calculated using scope 1 and 2 emissions only."/>
                    <pic:cNvPicPr/>
                  </pic:nvPicPr>
                  <pic:blipFill>
                    <a:blip r:embed="rId11">
                      <a:extLst>
                        <a:ext uri="{28A0092B-C50C-407E-A947-70E740481C1C}">
                          <a14:useLocalDpi xmlns:a14="http://schemas.microsoft.com/office/drawing/2010/main" val="0"/>
                        </a:ext>
                      </a:extLst>
                    </a:blip>
                    <a:stretch>
                      <a:fillRect/>
                    </a:stretch>
                  </pic:blipFill>
                  <pic:spPr>
                    <a:xfrm>
                      <a:off x="0" y="0"/>
                      <a:ext cx="2477553" cy="2609850"/>
                    </a:xfrm>
                    <a:prstGeom prst="rect">
                      <a:avLst/>
                    </a:prstGeom>
                  </pic:spPr>
                </pic:pic>
              </a:graphicData>
            </a:graphic>
          </wp:inline>
        </w:drawing>
      </w:r>
    </w:p>
    <w:p w14:paraId="70A0C6DD" w14:textId="77777777" w:rsidR="005E4689" w:rsidRDefault="005E4689">
      <w:pPr>
        <w:pStyle w:val="xmsonormal"/>
        <w:ind w:left="360"/>
      </w:pPr>
    </w:p>
    <w:p w14:paraId="709B178E" w14:textId="1A521077" w:rsidR="00477507" w:rsidRDefault="00477507">
      <w:pPr>
        <w:pStyle w:val="xmsonormal"/>
        <w:ind w:left="360"/>
      </w:pPr>
      <w:r>
        <w:t>HSBC additionally provides reporting of the investments against the UN SDGs.</w:t>
      </w:r>
    </w:p>
    <w:p w14:paraId="20E4A922" w14:textId="77777777" w:rsidR="00477507" w:rsidRDefault="00477507" w:rsidP="00744636">
      <w:pPr>
        <w:pStyle w:val="xmsonormal"/>
      </w:pPr>
    </w:p>
    <w:p w14:paraId="0F43A459" w14:textId="63609BFB" w:rsidR="00477507" w:rsidRDefault="00477507">
      <w:pPr>
        <w:pStyle w:val="xmsonormal"/>
        <w:ind w:left="360"/>
      </w:pPr>
      <w:r>
        <w:rPr>
          <w:noProof/>
        </w:rPr>
        <w:drawing>
          <wp:inline distT="0" distB="0" distL="0" distR="0" wp14:anchorId="0C4CD037" wp14:editId="291876DB">
            <wp:extent cx="5731510" cy="3203575"/>
            <wp:effectExtent l="0" t="0" r="2540" b="0"/>
            <wp:docPr id="3" name="Picture 3" descr="Using MSCI data as of April 2024, the BSU investments portfolio is most strongly aligned with the United Nations Sustainable Development Goals: 5 (Gender Equality), 8 (Decent Work and Economic Growth) and 10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ing MSCI data as of April 2024, the BSU investments portfolio is most strongly aligned with the United Nations Sustainable Development Goals: 5 (Gender Equality), 8 (Decent Work and Economic Growth) and 10 (Reduced Inequalities)."/>
                    <pic:cNvPicPr/>
                  </pic:nvPicPr>
                  <pic:blipFill>
                    <a:blip r:embed="rId12"/>
                    <a:stretch>
                      <a:fillRect/>
                    </a:stretch>
                  </pic:blipFill>
                  <pic:spPr>
                    <a:xfrm>
                      <a:off x="0" y="0"/>
                      <a:ext cx="5731510" cy="3203575"/>
                    </a:xfrm>
                    <a:prstGeom prst="rect">
                      <a:avLst/>
                    </a:prstGeom>
                  </pic:spPr>
                </pic:pic>
              </a:graphicData>
            </a:graphic>
          </wp:inline>
        </w:drawing>
      </w:r>
    </w:p>
    <w:p w14:paraId="5C5F1D8C" w14:textId="36A94D81" w:rsidR="00027ABE" w:rsidRDefault="00027ABE" w:rsidP="009D2974">
      <w:pPr>
        <w:pStyle w:val="Heading2"/>
        <w:numPr>
          <w:ilvl w:val="0"/>
          <w:numId w:val="13"/>
        </w:numPr>
      </w:pPr>
      <w:r w:rsidRPr="45DDE554">
        <w:t xml:space="preserve">KPIs &amp; </w:t>
      </w:r>
      <w:r w:rsidR="1E76F9D6" w:rsidRPr="45DDE554">
        <w:t>F</w:t>
      </w:r>
      <w:r w:rsidR="00F62160">
        <w:t>I</w:t>
      </w:r>
      <w:r w:rsidR="1E76F9D6" w:rsidRPr="45DDE554">
        <w:t xml:space="preserve">NANCIAL </w:t>
      </w:r>
      <w:r w:rsidRPr="45DDE554">
        <w:t>BENCHMARKING</w:t>
      </w:r>
    </w:p>
    <w:p w14:paraId="47FD6365" w14:textId="41C4B619" w:rsidR="00027ABE" w:rsidRDefault="00027ABE" w:rsidP="00027ABE">
      <w:r>
        <w:t xml:space="preserve">Given BSU’s aims (covered in para 1) benchmarking of performance will be important and as stated in the investment mandate, the benchmarking in use </w:t>
      </w:r>
      <w:r w:rsidR="00F62160">
        <w:t>is</w:t>
      </w:r>
      <w:r w:rsidR="7247A50F">
        <w:t xml:space="preserve"> a composite of the following</w:t>
      </w:r>
    </w:p>
    <w:p w14:paraId="69C6F9DD" w14:textId="1E791928" w:rsidR="45DDE554" w:rsidRDefault="45DDE554" w:rsidP="45DDE554"/>
    <w:tbl>
      <w:tblPr>
        <w:tblStyle w:val="TableGrid"/>
        <w:tblW w:w="0" w:type="auto"/>
        <w:tblLook w:val="04A0" w:firstRow="1" w:lastRow="0" w:firstColumn="1" w:lastColumn="0" w:noHBand="0" w:noVBand="1"/>
      </w:tblPr>
      <w:tblGrid>
        <w:gridCol w:w="5665"/>
        <w:gridCol w:w="1134"/>
        <w:gridCol w:w="1134"/>
        <w:gridCol w:w="1083"/>
      </w:tblGrid>
      <w:tr w:rsidR="00BC539E" w:rsidRPr="00BC539E" w14:paraId="06312E40" w14:textId="77777777" w:rsidTr="00744636">
        <w:trPr>
          <w:trHeight w:val="288"/>
          <w:tblHeader/>
        </w:trPr>
        <w:tc>
          <w:tcPr>
            <w:tcW w:w="5665" w:type="dxa"/>
            <w:noWrap/>
            <w:hideMark/>
          </w:tcPr>
          <w:p w14:paraId="7B5DC158" w14:textId="77777777" w:rsidR="00BC539E" w:rsidRPr="00BC539E" w:rsidRDefault="00BC539E" w:rsidP="00BC539E">
            <w:pPr>
              <w:rPr>
                <w:rFonts w:ascii="Aptos Narrow" w:eastAsia="Times New Roman" w:hAnsi="Aptos Narrow" w:cs="Times New Roman"/>
                <w:b/>
                <w:bCs/>
                <w:color w:val="000000"/>
                <w:lang w:eastAsia="en-GB"/>
              </w:rPr>
            </w:pPr>
            <w:r w:rsidRPr="00BC539E">
              <w:rPr>
                <w:rFonts w:ascii="Aptos Narrow" w:eastAsia="Times New Roman" w:hAnsi="Aptos Narrow" w:cs="Times New Roman"/>
                <w:b/>
                <w:bCs/>
                <w:color w:val="000000"/>
                <w:lang w:eastAsia="en-GB"/>
              </w:rPr>
              <w:t>Index</w:t>
            </w:r>
          </w:p>
        </w:tc>
        <w:tc>
          <w:tcPr>
            <w:tcW w:w="1134" w:type="dxa"/>
            <w:noWrap/>
            <w:hideMark/>
          </w:tcPr>
          <w:p w14:paraId="56CF4FB8" w14:textId="77777777" w:rsidR="00BC539E" w:rsidRPr="00BC539E" w:rsidRDefault="00BC539E" w:rsidP="00BC539E">
            <w:pPr>
              <w:rPr>
                <w:rFonts w:ascii="Aptos Narrow" w:eastAsia="Times New Roman" w:hAnsi="Aptos Narrow" w:cs="Times New Roman"/>
                <w:b/>
                <w:bCs/>
                <w:color w:val="000000"/>
                <w:lang w:eastAsia="en-GB"/>
              </w:rPr>
            </w:pPr>
            <w:r w:rsidRPr="00BC539E">
              <w:rPr>
                <w:rFonts w:ascii="Aptos Narrow" w:eastAsia="Times New Roman" w:hAnsi="Aptos Narrow" w:cs="Times New Roman"/>
                <w:b/>
                <w:bCs/>
                <w:color w:val="000000"/>
                <w:lang w:eastAsia="en-GB"/>
              </w:rPr>
              <w:t>Moderate</w:t>
            </w:r>
          </w:p>
        </w:tc>
        <w:tc>
          <w:tcPr>
            <w:tcW w:w="1134" w:type="dxa"/>
            <w:noWrap/>
            <w:hideMark/>
          </w:tcPr>
          <w:p w14:paraId="6A321E55" w14:textId="77777777" w:rsidR="00BC539E" w:rsidRPr="00BC539E" w:rsidRDefault="00BC539E" w:rsidP="00BC539E">
            <w:pPr>
              <w:rPr>
                <w:rFonts w:ascii="Aptos Narrow" w:eastAsia="Times New Roman" w:hAnsi="Aptos Narrow" w:cs="Times New Roman"/>
                <w:b/>
                <w:bCs/>
                <w:color w:val="000000"/>
                <w:lang w:eastAsia="en-GB"/>
              </w:rPr>
            </w:pPr>
            <w:r w:rsidRPr="00BC539E">
              <w:rPr>
                <w:rFonts w:ascii="Aptos Narrow" w:eastAsia="Times New Roman" w:hAnsi="Aptos Narrow" w:cs="Times New Roman"/>
                <w:b/>
                <w:bCs/>
                <w:color w:val="000000"/>
                <w:lang w:eastAsia="en-GB"/>
              </w:rPr>
              <w:t>Growth</w:t>
            </w:r>
          </w:p>
        </w:tc>
        <w:tc>
          <w:tcPr>
            <w:tcW w:w="1083" w:type="dxa"/>
            <w:noWrap/>
            <w:hideMark/>
          </w:tcPr>
          <w:p w14:paraId="1FC29094" w14:textId="77777777" w:rsidR="00BC539E" w:rsidRPr="00BC539E" w:rsidRDefault="00BC539E" w:rsidP="00BC539E">
            <w:pPr>
              <w:rPr>
                <w:rFonts w:ascii="Aptos Narrow" w:eastAsia="Times New Roman" w:hAnsi="Aptos Narrow" w:cs="Times New Roman"/>
                <w:b/>
                <w:bCs/>
                <w:color w:val="000000"/>
                <w:lang w:eastAsia="en-GB"/>
              </w:rPr>
            </w:pPr>
            <w:r w:rsidRPr="00BC539E">
              <w:rPr>
                <w:rFonts w:ascii="Aptos Narrow" w:eastAsia="Times New Roman" w:hAnsi="Aptos Narrow" w:cs="Times New Roman"/>
                <w:b/>
                <w:bCs/>
                <w:color w:val="000000"/>
                <w:lang w:eastAsia="en-GB"/>
              </w:rPr>
              <w:t>Dynamic</w:t>
            </w:r>
          </w:p>
        </w:tc>
      </w:tr>
      <w:tr w:rsidR="00BC539E" w:rsidRPr="00BC539E" w14:paraId="1F399F26" w14:textId="77777777" w:rsidTr="00744636">
        <w:trPr>
          <w:trHeight w:val="288"/>
          <w:tblHeader/>
        </w:trPr>
        <w:tc>
          <w:tcPr>
            <w:tcW w:w="5665" w:type="dxa"/>
            <w:noWrap/>
            <w:hideMark/>
          </w:tcPr>
          <w:p w14:paraId="27C7EE5F" w14:textId="77777777" w:rsidR="00BC539E" w:rsidRPr="00BC539E" w:rsidRDefault="00BC539E" w:rsidP="00BC539E">
            <w:pPr>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MSCI AC World Index Net</w:t>
            </w:r>
          </w:p>
        </w:tc>
        <w:tc>
          <w:tcPr>
            <w:tcW w:w="1134" w:type="dxa"/>
            <w:noWrap/>
            <w:hideMark/>
          </w:tcPr>
          <w:p w14:paraId="3C1070ED"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55.00%</w:t>
            </w:r>
          </w:p>
        </w:tc>
        <w:tc>
          <w:tcPr>
            <w:tcW w:w="1134" w:type="dxa"/>
            <w:noWrap/>
            <w:hideMark/>
          </w:tcPr>
          <w:p w14:paraId="5DC919B3"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70.00%</w:t>
            </w:r>
          </w:p>
        </w:tc>
        <w:tc>
          <w:tcPr>
            <w:tcW w:w="1083" w:type="dxa"/>
            <w:noWrap/>
            <w:hideMark/>
          </w:tcPr>
          <w:p w14:paraId="06EBCD8F"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85.00%</w:t>
            </w:r>
          </w:p>
        </w:tc>
      </w:tr>
      <w:tr w:rsidR="00BC539E" w:rsidRPr="00BC539E" w14:paraId="09103B3D" w14:textId="77777777" w:rsidTr="00744636">
        <w:trPr>
          <w:trHeight w:val="288"/>
          <w:tblHeader/>
        </w:trPr>
        <w:tc>
          <w:tcPr>
            <w:tcW w:w="5665" w:type="dxa"/>
            <w:noWrap/>
            <w:hideMark/>
          </w:tcPr>
          <w:p w14:paraId="009B3120" w14:textId="77777777" w:rsidR="00BC539E" w:rsidRPr="00BC539E" w:rsidRDefault="00BC539E" w:rsidP="00BC539E">
            <w:pPr>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Bloomberg Global Agg Treasuries TR Index Hedged</w:t>
            </w:r>
          </w:p>
        </w:tc>
        <w:tc>
          <w:tcPr>
            <w:tcW w:w="1134" w:type="dxa"/>
            <w:noWrap/>
            <w:hideMark/>
          </w:tcPr>
          <w:p w14:paraId="5CB85491"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24.00%</w:t>
            </w:r>
          </w:p>
        </w:tc>
        <w:tc>
          <w:tcPr>
            <w:tcW w:w="1134" w:type="dxa"/>
            <w:noWrap/>
            <w:hideMark/>
          </w:tcPr>
          <w:p w14:paraId="26912482"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14.00%</w:t>
            </w:r>
          </w:p>
        </w:tc>
        <w:tc>
          <w:tcPr>
            <w:tcW w:w="1083" w:type="dxa"/>
            <w:noWrap/>
            <w:hideMark/>
          </w:tcPr>
          <w:p w14:paraId="29324866"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4.50%</w:t>
            </w:r>
          </w:p>
        </w:tc>
      </w:tr>
      <w:tr w:rsidR="00BC539E" w:rsidRPr="00BC539E" w14:paraId="299AD790" w14:textId="77777777" w:rsidTr="00744636">
        <w:trPr>
          <w:trHeight w:val="288"/>
          <w:tblHeader/>
        </w:trPr>
        <w:tc>
          <w:tcPr>
            <w:tcW w:w="5665" w:type="dxa"/>
            <w:noWrap/>
            <w:hideMark/>
          </w:tcPr>
          <w:p w14:paraId="4EBD3FE4" w14:textId="77777777" w:rsidR="00BC539E" w:rsidRPr="00BC539E" w:rsidRDefault="00BC539E" w:rsidP="00BC539E">
            <w:pPr>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Bloomberg Global Aggregate Corporate Hedged</w:t>
            </w:r>
          </w:p>
        </w:tc>
        <w:tc>
          <w:tcPr>
            <w:tcW w:w="1134" w:type="dxa"/>
            <w:noWrap/>
            <w:hideMark/>
          </w:tcPr>
          <w:p w14:paraId="4D48F887"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14.00%</w:t>
            </w:r>
          </w:p>
        </w:tc>
        <w:tc>
          <w:tcPr>
            <w:tcW w:w="1134" w:type="dxa"/>
            <w:noWrap/>
            <w:hideMark/>
          </w:tcPr>
          <w:p w14:paraId="03731FB3"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9.00%</w:t>
            </w:r>
          </w:p>
        </w:tc>
        <w:tc>
          <w:tcPr>
            <w:tcW w:w="1083" w:type="dxa"/>
            <w:noWrap/>
            <w:hideMark/>
          </w:tcPr>
          <w:p w14:paraId="7293C288"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3.50%</w:t>
            </w:r>
          </w:p>
        </w:tc>
      </w:tr>
      <w:tr w:rsidR="00BC539E" w:rsidRPr="00BC539E" w14:paraId="3C196EB8" w14:textId="77777777" w:rsidTr="00744636">
        <w:trPr>
          <w:trHeight w:val="288"/>
          <w:tblHeader/>
        </w:trPr>
        <w:tc>
          <w:tcPr>
            <w:tcW w:w="5665" w:type="dxa"/>
            <w:noWrap/>
            <w:hideMark/>
          </w:tcPr>
          <w:p w14:paraId="344C8867" w14:textId="77777777" w:rsidR="00BC539E" w:rsidRPr="00BC539E" w:rsidRDefault="00BC539E" w:rsidP="00BC539E">
            <w:pPr>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Bloomberg EM Local Currency Government TR</w:t>
            </w:r>
          </w:p>
        </w:tc>
        <w:tc>
          <w:tcPr>
            <w:tcW w:w="1134" w:type="dxa"/>
            <w:noWrap/>
            <w:hideMark/>
          </w:tcPr>
          <w:p w14:paraId="7719B021"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5.00%</w:t>
            </w:r>
          </w:p>
        </w:tc>
        <w:tc>
          <w:tcPr>
            <w:tcW w:w="1134" w:type="dxa"/>
            <w:noWrap/>
            <w:hideMark/>
          </w:tcPr>
          <w:p w14:paraId="2F86E497"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5.00%</w:t>
            </w:r>
          </w:p>
        </w:tc>
        <w:tc>
          <w:tcPr>
            <w:tcW w:w="1083" w:type="dxa"/>
            <w:noWrap/>
            <w:hideMark/>
          </w:tcPr>
          <w:p w14:paraId="64FC3F68"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5.00%</w:t>
            </w:r>
          </w:p>
        </w:tc>
      </w:tr>
      <w:tr w:rsidR="00BC539E" w:rsidRPr="00BC539E" w14:paraId="2E58439F" w14:textId="77777777" w:rsidTr="00744636">
        <w:trPr>
          <w:trHeight w:val="288"/>
          <w:tblHeader/>
        </w:trPr>
        <w:tc>
          <w:tcPr>
            <w:tcW w:w="5665" w:type="dxa"/>
            <w:noWrap/>
            <w:hideMark/>
          </w:tcPr>
          <w:p w14:paraId="36B95EF0" w14:textId="77777777" w:rsidR="00BC539E" w:rsidRPr="00BC539E" w:rsidRDefault="00BC539E" w:rsidP="00BC539E">
            <w:pPr>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Bloomberg Term 1 Month TR</w:t>
            </w:r>
          </w:p>
        </w:tc>
        <w:tc>
          <w:tcPr>
            <w:tcW w:w="1134" w:type="dxa"/>
            <w:noWrap/>
            <w:hideMark/>
          </w:tcPr>
          <w:p w14:paraId="007BEBB7"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2.00%</w:t>
            </w:r>
          </w:p>
        </w:tc>
        <w:tc>
          <w:tcPr>
            <w:tcW w:w="1134" w:type="dxa"/>
            <w:noWrap/>
            <w:hideMark/>
          </w:tcPr>
          <w:p w14:paraId="2D0E8CBF"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2.00%</w:t>
            </w:r>
          </w:p>
        </w:tc>
        <w:tc>
          <w:tcPr>
            <w:tcW w:w="1083" w:type="dxa"/>
            <w:noWrap/>
            <w:hideMark/>
          </w:tcPr>
          <w:p w14:paraId="223A36E2"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2.00%</w:t>
            </w:r>
          </w:p>
        </w:tc>
      </w:tr>
      <w:tr w:rsidR="00BC539E" w:rsidRPr="00BC539E" w14:paraId="19650A82" w14:textId="77777777" w:rsidTr="00744636">
        <w:trPr>
          <w:trHeight w:val="288"/>
          <w:tblHeader/>
        </w:trPr>
        <w:tc>
          <w:tcPr>
            <w:tcW w:w="5665" w:type="dxa"/>
            <w:noWrap/>
            <w:hideMark/>
          </w:tcPr>
          <w:p w14:paraId="0B26FFD9" w14:textId="77777777" w:rsidR="00BC539E" w:rsidRPr="00BC539E" w:rsidRDefault="00BC539E" w:rsidP="00BC539E">
            <w:pPr>
              <w:jc w:val="right"/>
              <w:rPr>
                <w:rFonts w:ascii="Aptos Narrow" w:eastAsia="Times New Roman" w:hAnsi="Aptos Narrow" w:cs="Times New Roman"/>
                <w:color w:val="000000"/>
                <w:lang w:eastAsia="en-GB"/>
              </w:rPr>
            </w:pPr>
          </w:p>
        </w:tc>
        <w:tc>
          <w:tcPr>
            <w:tcW w:w="1134" w:type="dxa"/>
            <w:noWrap/>
            <w:hideMark/>
          </w:tcPr>
          <w:p w14:paraId="7231D1D4"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100.00%</w:t>
            </w:r>
          </w:p>
        </w:tc>
        <w:tc>
          <w:tcPr>
            <w:tcW w:w="1134" w:type="dxa"/>
            <w:noWrap/>
            <w:hideMark/>
          </w:tcPr>
          <w:p w14:paraId="7C4B97BA"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100.00%</w:t>
            </w:r>
          </w:p>
        </w:tc>
        <w:tc>
          <w:tcPr>
            <w:tcW w:w="1083" w:type="dxa"/>
            <w:noWrap/>
            <w:hideMark/>
          </w:tcPr>
          <w:p w14:paraId="7B08BDC4" w14:textId="77777777" w:rsidR="00BC539E" w:rsidRPr="00BC539E" w:rsidRDefault="00BC539E" w:rsidP="00BC539E">
            <w:pPr>
              <w:jc w:val="right"/>
              <w:rPr>
                <w:rFonts w:ascii="Aptos Narrow" w:eastAsia="Times New Roman" w:hAnsi="Aptos Narrow" w:cs="Times New Roman"/>
                <w:color w:val="000000"/>
                <w:lang w:eastAsia="en-GB"/>
              </w:rPr>
            </w:pPr>
            <w:r w:rsidRPr="00BC539E">
              <w:rPr>
                <w:rFonts w:ascii="Aptos Narrow" w:eastAsia="Times New Roman" w:hAnsi="Aptos Narrow" w:cs="Times New Roman"/>
                <w:color w:val="000000"/>
                <w:lang w:eastAsia="en-GB"/>
              </w:rPr>
              <w:t>100.00%</w:t>
            </w:r>
          </w:p>
        </w:tc>
      </w:tr>
    </w:tbl>
    <w:p w14:paraId="4B4E35B2" w14:textId="055D9E2C" w:rsidR="7247A50F" w:rsidRDefault="7247A50F" w:rsidP="45DDE554">
      <w:pPr>
        <w:rPr>
          <w:highlight w:val="yellow"/>
        </w:rPr>
      </w:pPr>
    </w:p>
    <w:p w14:paraId="3BA99AA2" w14:textId="77777777" w:rsidR="00CD4E77" w:rsidRDefault="00CD4E77" w:rsidP="00522A0B">
      <w:pPr>
        <w:pStyle w:val="ListParagraph"/>
        <w:rPr>
          <w:b/>
          <w:bCs/>
          <w:u w:val="single"/>
        </w:rPr>
      </w:pPr>
    </w:p>
    <w:p w14:paraId="7D677DB0" w14:textId="04EE8FD5" w:rsidR="002A58A8" w:rsidRDefault="002A58A8" w:rsidP="009D2974">
      <w:pPr>
        <w:pStyle w:val="Heading2"/>
        <w:numPr>
          <w:ilvl w:val="0"/>
          <w:numId w:val="13"/>
        </w:numPr>
      </w:pPr>
      <w:r w:rsidRPr="00B8746F">
        <w:t>GOVERNANCE</w:t>
      </w:r>
    </w:p>
    <w:p w14:paraId="1ADCF4F0" w14:textId="77777777" w:rsidR="00E1495A" w:rsidRDefault="002A58A8" w:rsidP="002A58A8">
      <w:r w:rsidRPr="00664676">
        <w:t>The trustees have ultimate responsibility for</w:t>
      </w:r>
      <w:r>
        <w:t xml:space="preserve"> making these investments on BSU’s behalf.  Their role is covered by the document recently published by the government (appendix </w:t>
      </w:r>
      <w:r w:rsidR="00DF2B09">
        <w:t>C</w:t>
      </w:r>
      <w:r>
        <w:t>).</w:t>
      </w:r>
    </w:p>
    <w:p w14:paraId="064DD535" w14:textId="38C5DEAE" w:rsidR="002A58A8" w:rsidRDefault="003F3FD9" w:rsidP="002A58A8">
      <w:r>
        <w:t xml:space="preserve">Governance of the Investment Framework is outlined </w:t>
      </w:r>
      <w:r w:rsidR="00DC6F37">
        <w:t>in</w:t>
      </w:r>
      <w:r>
        <w:t xml:space="preserve"> Appendix A to the Terms of Reference of the Finance and Infrastructure Committee (as presented in other items to this meeting), which provides routes of assurance of oversight and governance for investment decisions.  </w:t>
      </w:r>
      <w:r w:rsidR="002A58A8">
        <w:tab/>
      </w:r>
    </w:p>
    <w:p w14:paraId="72F906ED" w14:textId="77777777" w:rsidR="002A58A8" w:rsidRPr="00664676" w:rsidRDefault="002A58A8" w:rsidP="002A58A8">
      <w:r>
        <w:t>The appointment of a governor with investment or financial instrument experience is considered optimal when a charity has oversight of an investment portfolio.</w:t>
      </w:r>
    </w:p>
    <w:p w14:paraId="568BA689" w14:textId="2B445C1C" w:rsidR="002A58A8" w:rsidRDefault="002A58A8" w:rsidP="002A58A8">
      <w:r w:rsidRPr="00EC2399">
        <w:t xml:space="preserve">The </w:t>
      </w:r>
      <w:r>
        <w:t>CFO is the subject matter expert (SME) representing BSU Exec in advising the BSU Board and liaising with HSBC.</w:t>
      </w:r>
      <w:r w:rsidR="006E4493">
        <w:t xml:space="preserve">  The CFO may take independent financial advice when appropriate to support the investment strategy and decision making.</w:t>
      </w:r>
    </w:p>
    <w:p w14:paraId="3DBA5D11" w14:textId="77777777" w:rsidR="002A58A8" w:rsidRDefault="002A58A8" w:rsidP="00B8746F"/>
    <w:p w14:paraId="27081DAF" w14:textId="77777777" w:rsidR="002A58A8" w:rsidRPr="00EC2399" w:rsidRDefault="002A58A8" w:rsidP="00B8746F"/>
    <w:p w14:paraId="5C00AC3A" w14:textId="51738A93" w:rsidR="00B8746F" w:rsidRDefault="00B8746F" w:rsidP="009D2974">
      <w:pPr>
        <w:pStyle w:val="Heading2"/>
        <w:numPr>
          <w:ilvl w:val="0"/>
          <w:numId w:val="13"/>
        </w:numPr>
      </w:pPr>
      <w:r w:rsidRPr="00B8746F">
        <w:t>RELATIONSHIP</w:t>
      </w:r>
      <w:r w:rsidR="00C53089">
        <w:t xml:space="preserve"> MANAGEMENT</w:t>
      </w:r>
    </w:p>
    <w:p w14:paraId="38BBE07C" w14:textId="044E939C" w:rsidR="00C53089" w:rsidRDefault="00C53089" w:rsidP="00C53089">
      <w:r w:rsidRPr="00C53089">
        <w:t>The relationship with our investment manager</w:t>
      </w:r>
      <w:r>
        <w:t>, HSBC</w:t>
      </w:r>
      <w:r w:rsidRPr="00C53089">
        <w:t xml:space="preserve"> is covered</w:t>
      </w:r>
      <w:r>
        <w:t xml:space="preserve"> by the investment </w:t>
      </w:r>
      <w:r w:rsidRPr="00C53089">
        <w:t>mandate we signed on setting up the portfolio.</w:t>
      </w:r>
      <w:r w:rsidR="00027ABE">
        <w:t xml:space="preserve">  It covers the decisions HSBC can make on our behalf and those they cannot make.  What funds may be held and what funds may not be.</w:t>
      </w:r>
    </w:p>
    <w:p w14:paraId="70D32022" w14:textId="0FB6B12B" w:rsidR="00027ABE" w:rsidRDefault="00027ABE" w:rsidP="00C53089">
      <w:r>
        <w:t xml:space="preserve">The term of the relationship is not defined but it is implicit in the performance related nature of the relationship that if performance indicated by the two KPIs are not met then intervention may be necessary and alternative investment management options or providers considered.  </w:t>
      </w:r>
    </w:p>
    <w:p w14:paraId="05F416E1" w14:textId="77777777" w:rsidR="005F205C" w:rsidRDefault="005F205C" w:rsidP="00C53089"/>
    <w:p w14:paraId="683C318A" w14:textId="77777777" w:rsidR="005B7EFD" w:rsidRDefault="005B7EFD" w:rsidP="00C53089">
      <w:pPr>
        <w:rPr>
          <w:b/>
          <w:bCs/>
          <w:u w:val="single"/>
        </w:rPr>
      </w:pPr>
    </w:p>
    <w:p w14:paraId="1E1EF886" w14:textId="63759D6C" w:rsidR="631F33F3" w:rsidRDefault="631F33F3" w:rsidP="45DDE554"/>
    <w:p w14:paraId="58FCD81F" w14:textId="1D8E0CEC" w:rsidR="631F33F3" w:rsidRDefault="631F33F3" w:rsidP="631F33F3"/>
    <w:p w14:paraId="331CA466" w14:textId="5F0B5D72" w:rsidR="5FD3E3BC" w:rsidRDefault="5FD3E3BC" w:rsidP="631F33F3"/>
    <w:sectPr w:rsidR="5FD3E3BC">
      <w:headerReference w:type="default" r:id="rId13"/>
      <w:footerReference w:type="default" r:id="rId14"/>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EC67" w14:textId="77777777" w:rsidR="004549AD" w:rsidRDefault="004549AD">
      <w:pPr>
        <w:spacing w:after="0" w:line="240" w:lineRule="auto"/>
      </w:pPr>
    </w:p>
  </w:endnote>
  <w:endnote w:type="continuationSeparator" w:id="0">
    <w:p w14:paraId="356132BC" w14:textId="77777777" w:rsidR="004549AD" w:rsidRDefault="00454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DFEC" w14:textId="3451BE55" w:rsidR="001B6D9B" w:rsidRDefault="001B6D9B">
    <w:pPr>
      <w:pStyle w:val="Footer"/>
    </w:pPr>
    <w:r>
      <w:rPr>
        <w:noProof/>
      </w:rPr>
      <mc:AlternateContent>
        <mc:Choice Requires="wps">
          <w:drawing>
            <wp:anchor distT="0" distB="0" distL="114300" distR="114300" simplePos="0" relativeHeight="251659264" behindDoc="0" locked="0" layoutInCell="0" allowOverlap="1" wp14:anchorId="3EFF9DEB" wp14:editId="510BC711">
              <wp:simplePos x="0" y="0"/>
              <wp:positionH relativeFrom="page">
                <wp:posOffset>0</wp:posOffset>
              </wp:positionH>
              <wp:positionV relativeFrom="page">
                <wp:posOffset>10227945</wp:posOffset>
              </wp:positionV>
              <wp:extent cx="7560310" cy="273050"/>
              <wp:effectExtent l="0" t="0" r="0" b="12700"/>
              <wp:wrapNone/>
              <wp:docPr id="1" name="MSIPCMfefa40c0b5a7f4ec82a64807" descr="{&quot;HashCode&quot;:537353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DC5B2" w14:textId="1CC3BAD8" w:rsidR="001B6D9B" w:rsidRPr="001B6D9B" w:rsidRDefault="001B6D9B" w:rsidP="001B6D9B">
                          <w:pPr>
                            <w:spacing w:after="0"/>
                            <w:jc w:val="center"/>
                            <w:rPr>
                              <w:rFonts w:ascii="Calibri" w:hAnsi="Calibri" w:cs="Calibri"/>
                              <w:color w:val="000000"/>
                              <w:sz w:val="20"/>
                            </w:rPr>
                          </w:pPr>
                          <w:r w:rsidRPr="001B6D9B">
                            <w:rPr>
                              <w:rFonts w:ascii="Calibri" w:hAnsi="Calibri" w:cs="Calibri"/>
                              <w:color w:val="000000"/>
                              <w:sz w:val="20"/>
                            </w:rPr>
                            <w:t>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F9DEB" id="_x0000_t202" coordsize="21600,21600" o:spt="202" path="m,l,21600r21600,l21600,xe">
              <v:stroke joinstyle="miter"/>
              <v:path gradientshapeok="t" o:connecttype="rect"/>
            </v:shapetype>
            <v:shape id="MSIPCMfefa40c0b5a7f4ec82a64807" o:spid="_x0000_s1026" type="#_x0000_t202" alt="{&quot;HashCode&quot;:537353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D5DC5B2" w14:textId="1CC3BAD8" w:rsidR="001B6D9B" w:rsidRPr="001B6D9B" w:rsidRDefault="001B6D9B" w:rsidP="001B6D9B">
                    <w:pPr>
                      <w:spacing w:after="0"/>
                      <w:jc w:val="center"/>
                      <w:rPr>
                        <w:rFonts w:ascii="Calibri" w:hAnsi="Calibri" w:cs="Calibri"/>
                        <w:color w:val="000000"/>
                        <w:sz w:val="20"/>
                      </w:rPr>
                    </w:pPr>
                    <w:r w:rsidRPr="001B6D9B">
                      <w:rPr>
                        <w:rFonts w:ascii="Calibri" w:hAnsi="Calibri" w:cs="Calibri"/>
                        <w:color w:val="000000"/>
                        <w:sz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4968" w14:textId="77777777" w:rsidR="004549AD" w:rsidRDefault="004549AD">
      <w:pPr>
        <w:spacing w:after="0" w:line="240" w:lineRule="auto"/>
      </w:pPr>
    </w:p>
  </w:footnote>
  <w:footnote w:type="continuationSeparator" w:id="0">
    <w:p w14:paraId="03412846" w14:textId="77777777" w:rsidR="004549AD" w:rsidRDefault="00454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EB5C3D1" w14:paraId="15705DD5" w14:textId="77777777" w:rsidTr="6EB5C3D1">
      <w:trPr>
        <w:trHeight w:val="300"/>
      </w:trPr>
      <w:tc>
        <w:tcPr>
          <w:tcW w:w="3005" w:type="dxa"/>
        </w:tcPr>
        <w:p w14:paraId="0D0AB5C0" w14:textId="37B43D60" w:rsidR="6EB5C3D1" w:rsidRDefault="6EB5C3D1" w:rsidP="6EB5C3D1">
          <w:pPr>
            <w:pStyle w:val="Header"/>
            <w:ind w:left="-115"/>
            <w:jc w:val="right"/>
          </w:pPr>
        </w:p>
      </w:tc>
      <w:tc>
        <w:tcPr>
          <w:tcW w:w="3005" w:type="dxa"/>
        </w:tcPr>
        <w:p w14:paraId="03097E1C" w14:textId="2693073A" w:rsidR="6EB5C3D1" w:rsidRDefault="6EB5C3D1" w:rsidP="6EB5C3D1">
          <w:pPr>
            <w:pStyle w:val="Header"/>
            <w:jc w:val="center"/>
            <w:rPr>
              <w:b/>
              <w:bCs/>
              <w:sz w:val="28"/>
              <w:szCs w:val="28"/>
            </w:rPr>
          </w:pPr>
        </w:p>
      </w:tc>
      <w:tc>
        <w:tcPr>
          <w:tcW w:w="3005" w:type="dxa"/>
        </w:tcPr>
        <w:p w14:paraId="436FB401" w14:textId="1C97D0DF" w:rsidR="6EB5C3D1" w:rsidRDefault="6EB5C3D1" w:rsidP="6EB5C3D1">
          <w:pPr>
            <w:pStyle w:val="Header"/>
            <w:ind w:right="-115"/>
            <w:jc w:val="right"/>
            <w:rPr>
              <w:b/>
              <w:bCs/>
              <w:sz w:val="28"/>
              <w:szCs w:val="28"/>
            </w:rPr>
          </w:pPr>
        </w:p>
      </w:tc>
    </w:tr>
  </w:tbl>
  <w:p w14:paraId="07B09D47" w14:textId="315080F2" w:rsidR="6EB5C3D1" w:rsidRDefault="6EB5C3D1" w:rsidP="6EB5C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A77"/>
    <w:multiLevelType w:val="hybridMultilevel"/>
    <w:tmpl w:val="295C0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03DD9"/>
    <w:multiLevelType w:val="hybridMultilevel"/>
    <w:tmpl w:val="5372C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E5A54"/>
    <w:multiLevelType w:val="hybridMultilevel"/>
    <w:tmpl w:val="8E3E5560"/>
    <w:lvl w:ilvl="0" w:tplc="BB7E45C0">
      <w:start w:val="1"/>
      <w:numFmt w:val="lowerLetter"/>
      <w:lvlText w:val="%1)"/>
      <w:lvlJc w:val="left"/>
      <w:pPr>
        <w:ind w:left="720" w:hanging="360"/>
      </w:pPr>
    </w:lvl>
    <w:lvl w:ilvl="1" w:tplc="59B26D60">
      <w:start w:val="1"/>
      <w:numFmt w:val="lowerLetter"/>
      <w:lvlText w:val="%2."/>
      <w:lvlJc w:val="left"/>
      <w:pPr>
        <w:ind w:left="1440" w:hanging="360"/>
      </w:pPr>
    </w:lvl>
    <w:lvl w:ilvl="2" w:tplc="932A36BC">
      <w:start w:val="1"/>
      <w:numFmt w:val="lowerRoman"/>
      <w:lvlText w:val="%3."/>
      <w:lvlJc w:val="right"/>
      <w:pPr>
        <w:ind w:left="2160" w:hanging="180"/>
      </w:pPr>
    </w:lvl>
    <w:lvl w:ilvl="3" w:tplc="4AA888D2">
      <w:start w:val="1"/>
      <w:numFmt w:val="decimal"/>
      <w:lvlText w:val="%4."/>
      <w:lvlJc w:val="left"/>
      <w:pPr>
        <w:ind w:left="2880" w:hanging="360"/>
      </w:pPr>
    </w:lvl>
    <w:lvl w:ilvl="4" w:tplc="50486968">
      <w:start w:val="1"/>
      <w:numFmt w:val="lowerLetter"/>
      <w:lvlText w:val="%5."/>
      <w:lvlJc w:val="left"/>
      <w:pPr>
        <w:ind w:left="3600" w:hanging="360"/>
      </w:pPr>
    </w:lvl>
    <w:lvl w:ilvl="5" w:tplc="3C38C34E">
      <w:start w:val="1"/>
      <w:numFmt w:val="lowerRoman"/>
      <w:lvlText w:val="%6."/>
      <w:lvlJc w:val="right"/>
      <w:pPr>
        <w:ind w:left="4320" w:hanging="180"/>
      </w:pPr>
    </w:lvl>
    <w:lvl w:ilvl="6" w:tplc="30987DF8">
      <w:start w:val="1"/>
      <w:numFmt w:val="decimal"/>
      <w:lvlText w:val="%7."/>
      <w:lvlJc w:val="left"/>
      <w:pPr>
        <w:ind w:left="5040" w:hanging="360"/>
      </w:pPr>
    </w:lvl>
    <w:lvl w:ilvl="7" w:tplc="F4B69FC8">
      <w:start w:val="1"/>
      <w:numFmt w:val="lowerLetter"/>
      <w:lvlText w:val="%8."/>
      <w:lvlJc w:val="left"/>
      <w:pPr>
        <w:ind w:left="5760" w:hanging="360"/>
      </w:pPr>
    </w:lvl>
    <w:lvl w:ilvl="8" w:tplc="4DC4AA6C">
      <w:start w:val="1"/>
      <w:numFmt w:val="lowerRoman"/>
      <w:lvlText w:val="%9."/>
      <w:lvlJc w:val="right"/>
      <w:pPr>
        <w:ind w:left="6480" w:hanging="180"/>
      </w:pPr>
    </w:lvl>
  </w:abstractNum>
  <w:abstractNum w:abstractNumId="4" w15:restartNumberingAfterBreak="0">
    <w:nsid w:val="2D136D44"/>
    <w:multiLevelType w:val="hybridMultilevel"/>
    <w:tmpl w:val="1F289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5449E"/>
    <w:multiLevelType w:val="hybridMultilevel"/>
    <w:tmpl w:val="A04AB1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F63E19"/>
    <w:multiLevelType w:val="hybridMultilevel"/>
    <w:tmpl w:val="32045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FD9C5F"/>
    <w:multiLevelType w:val="hybridMultilevel"/>
    <w:tmpl w:val="345617F0"/>
    <w:lvl w:ilvl="0" w:tplc="B6F8DFFA">
      <w:start w:val="1"/>
      <w:numFmt w:val="bullet"/>
      <w:lvlText w:val=""/>
      <w:lvlJc w:val="left"/>
      <w:pPr>
        <w:ind w:left="1080" w:hanging="360"/>
      </w:pPr>
      <w:rPr>
        <w:rFonts w:ascii="Symbol" w:hAnsi="Symbol" w:hint="default"/>
      </w:rPr>
    </w:lvl>
    <w:lvl w:ilvl="1" w:tplc="0D3889A8">
      <w:start w:val="1"/>
      <w:numFmt w:val="bullet"/>
      <w:lvlText w:val="o"/>
      <w:lvlJc w:val="left"/>
      <w:pPr>
        <w:ind w:left="1800" w:hanging="360"/>
      </w:pPr>
      <w:rPr>
        <w:rFonts w:ascii="Courier New" w:hAnsi="Courier New" w:hint="default"/>
      </w:rPr>
    </w:lvl>
    <w:lvl w:ilvl="2" w:tplc="6FA6A880">
      <w:start w:val="1"/>
      <w:numFmt w:val="bullet"/>
      <w:lvlText w:val=""/>
      <w:lvlJc w:val="left"/>
      <w:pPr>
        <w:ind w:left="2520" w:hanging="360"/>
      </w:pPr>
      <w:rPr>
        <w:rFonts w:ascii="Wingdings" w:hAnsi="Wingdings" w:hint="default"/>
      </w:rPr>
    </w:lvl>
    <w:lvl w:ilvl="3" w:tplc="E4120C34">
      <w:start w:val="1"/>
      <w:numFmt w:val="bullet"/>
      <w:lvlText w:val=""/>
      <w:lvlJc w:val="left"/>
      <w:pPr>
        <w:ind w:left="3240" w:hanging="360"/>
      </w:pPr>
      <w:rPr>
        <w:rFonts w:ascii="Symbol" w:hAnsi="Symbol" w:hint="default"/>
      </w:rPr>
    </w:lvl>
    <w:lvl w:ilvl="4" w:tplc="98A686C6">
      <w:start w:val="1"/>
      <w:numFmt w:val="bullet"/>
      <w:lvlText w:val="o"/>
      <w:lvlJc w:val="left"/>
      <w:pPr>
        <w:ind w:left="3960" w:hanging="360"/>
      </w:pPr>
      <w:rPr>
        <w:rFonts w:ascii="Courier New" w:hAnsi="Courier New" w:hint="default"/>
      </w:rPr>
    </w:lvl>
    <w:lvl w:ilvl="5" w:tplc="E7D46908">
      <w:start w:val="1"/>
      <w:numFmt w:val="bullet"/>
      <w:lvlText w:val=""/>
      <w:lvlJc w:val="left"/>
      <w:pPr>
        <w:ind w:left="4680" w:hanging="360"/>
      </w:pPr>
      <w:rPr>
        <w:rFonts w:ascii="Wingdings" w:hAnsi="Wingdings" w:hint="default"/>
      </w:rPr>
    </w:lvl>
    <w:lvl w:ilvl="6" w:tplc="E8B85958">
      <w:start w:val="1"/>
      <w:numFmt w:val="bullet"/>
      <w:lvlText w:val=""/>
      <w:lvlJc w:val="left"/>
      <w:pPr>
        <w:ind w:left="5400" w:hanging="360"/>
      </w:pPr>
      <w:rPr>
        <w:rFonts w:ascii="Symbol" w:hAnsi="Symbol" w:hint="default"/>
      </w:rPr>
    </w:lvl>
    <w:lvl w:ilvl="7" w:tplc="DDC8F704">
      <w:start w:val="1"/>
      <w:numFmt w:val="bullet"/>
      <w:lvlText w:val="o"/>
      <w:lvlJc w:val="left"/>
      <w:pPr>
        <w:ind w:left="6120" w:hanging="360"/>
      </w:pPr>
      <w:rPr>
        <w:rFonts w:ascii="Courier New" w:hAnsi="Courier New" w:hint="default"/>
      </w:rPr>
    </w:lvl>
    <w:lvl w:ilvl="8" w:tplc="095C4FE4">
      <w:start w:val="1"/>
      <w:numFmt w:val="bullet"/>
      <w:lvlText w:val=""/>
      <w:lvlJc w:val="left"/>
      <w:pPr>
        <w:ind w:left="6840" w:hanging="360"/>
      </w:pPr>
      <w:rPr>
        <w:rFonts w:ascii="Wingdings" w:hAnsi="Wingdings" w:hint="default"/>
      </w:rPr>
    </w:lvl>
  </w:abstractNum>
  <w:abstractNum w:abstractNumId="8" w15:restartNumberingAfterBreak="0">
    <w:nsid w:val="59514B0C"/>
    <w:multiLevelType w:val="hybridMultilevel"/>
    <w:tmpl w:val="B0461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C193E"/>
    <w:multiLevelType w:val="hybridMultilevel"/>
    <w:tmpl w:val="C2ACF5FA"/>
    <w:lvl w:ilvl="0" w:tplc="1AA468C0">
      <w:start w:val="1"/>
      <w:numFmt w:val="decimal"/>
      <w:lvlText w:val="%1."/>
      <w:lvlJc w:val="left"/>
      <w:pPr>
        <w:ind w:left="720" w:hanging="360"/>
      </w:pPr>
    </w:lvl>
    <w:lvl w:ilvl="1" w:tplc="FF34F186">
      <w:start w:val="1"/>
      <w:numFmt w:val="lowerLetter"/>
      <w:lvlText w:val="%2."/>
      <w:lvlJc w:val="left"/>
      <w:pPr>
        <w:ind w:left="1440" w:hanging="360"/>
      </w:pPr>
    </w:lvl>
    <w:lvl w:ilvl="2" w:tplc="2CBA456E">
      <w:start w:val="1"/>
      <w:numFmt w:val="lowerRoman"/>
      <w:lvlText w:val="%3."/>
      <w:lvlJc w:val="right"/>
      <w:pPr>
        <w:ind w:left="2160" w:hanging="180"/>
      </w:pPr>
    </w:lvl>
    <w:lvl w:ilvl="3" w:tplc="0C129178">
      <w:start w:val="1"/>
      <w:numFmt w:val="decimal"/>
      <w:lvlText w:val="%4."/>
      <w:lvlJc w:val="left"/>
      <w:pPr>
        <w:ind w:left="2880" w:hanging="360"/>
      </w:pPr>
    </w:lvl>
    <w:lvl w:ilvl="4" w:tplc="1EA02864">
      <w:start w:val="1"/>
      <w:numFmt w:val="lowerLetter"/>
      <w:lvlText w:val="%5."/>
      <w:lvlJc w:val="left"/>
      <w:pPr>
        <w:ind w:left="3600" w:hanging="360"/>
      </w:pPr>
    </w:lvl>
    <w:lvl w:ilvl="5" w:tplc="E1840B2E">
      <w:start w:val="1"/>
      <w:numFmt w:val="lowerRoman"/>
      <w:lvlText w:val="%6."/>
      <w:lvlJc w:val="right"/>
      <w:pPr>
        <w:ind w:left="4320" w:hanging="180"/>
      </w:pPr>
    </w:lvl>
    <w:lvl w:ilvl="6" w:tplc="4288D5B6">
      <w:start w:val="1"/>
      <w:numFmt w:val="decimal"/>
      <w:lvlText w:val="%7."/>
      <w:lvlJc w:val="left"/>
      <w:pPr>
        <w:ind w:left="5040" w:hanging="360"/>
      </w:pPr>
    </w:lvl>
    <w:lvl w:ilvl="7" w:tplc="5EF096D8">
      <w:start w:val="1"/>
      <w:numFmt w:val="lowerLetter"/>
      <w:lvlText w:val="%8."/>
      <w:lvlJc w:val="left"/>
      <w:pPr>
        <w:ind w:left="5760" w:hanging="360"/>
      </w:pPr>
    </w:lvl>
    <w:lvl w:ilvl="8" w:tplc="58EE2CD6">
      <w:start w:val="1"/>
      <w:numFmt w:val="lowerRoman"/>
      <w:lvlText w:val="%9."/>
      <w:lvlJc w:val="right"/>
      <w:pPr>
        <w:ind w:left="6480" w:hanging="180"/>
      </w:pPr>
    </w:lvl>
  </w:abstractNum>
  <w:abstractNum w:abstractNumId="10" w15:restartNumberingAfterBreak="0">
    <w:nsid w:val="5FF91732"/>
    <w:multiLevelType w:val="hybridMultilevel"/>
    <w:tmpl w:val="A04AB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A5898"/>
    <w:multiLevelType w:val="hybridMultilevel"/>
    <w:tmpl w:val="96D053A4"/>
    <w:lvl w:ilvl="0" w:tplc="133AEF8E">
      <w:start w:val="1"/>
      <w:numFmt w:val="bullet"/>
      <w:lvlText w:val=""/>
      <w:lvlJc w:val="left"/>
      <w:pPr>
        <w:ind w:left="720" w:hanging="360"/>
      </w:pPr>
      <w:rPr>
        <w:rFonts w:ascii="Symbol" w:hAnsi="Symbol" w:hint="default"/>
      </w:rPr>
    </w:lvl>
    <w:lvl w:ilvl="1" w:tplc="A7CCD134">
      <w:start w:val="1"/>
      <w:numFmt w:val="bullet"/>
      <w:lvlText w:val="o"/>
      <w:lvlJc w:val="left"/>
      <w:pPr>
        <w:ind w:left="1440" w:hanging="360"/>
      </w:pPr>
      <w:rPr>
        <w:rFonts w:ascii="Courier New" w:hAnsi="Courier New" w:hint="default"/>
      </w:rPr>
    </w:lvl>
    <w:lvl w:ilvl="2" w:tplc="3CAC0D1C">
      <w:start w:val="1"/>
      <w:numFmt w:val="bullet"/>
      <w:lvlText w:val=""/>
      <w:lvlJc w:val="left"/>
      <w:pPr>
        <w:ind w:left="2160" w:hanging="360"/>
      </w:pPr>
      <w:rPr>
        <w:rFonts w:ascii="Wingdings" w:hAnsi="Wingdings" w:hint="default"/>
      </w:rPr>
    </w:lvl>
    <w:lvl w:ilvl="3" w:tplc="56C8B5F4">
      <w:start w:val="1"/>
      <w:numFmt w:val="bullet"/>
      <w:lvlText w:val=""/>
      <w:lvlJc w:val="left"/>
      <w:pPr>
        <w:ind w:left="2880" w:hanging="360"/>
      </w:pPr>
      <w:rPr>
        <w:rFonts w:ascii="Symbol" w:hAnsi="Symbol" w:hint="default"/>
      </w:rPr>
    </w:lvl>
    <w:lvl w:ilvl="4" w:tplc="FAC274BE">
      <w:start w:val="1"/>
      <w:numFmt w:val="bullet"/>
      <w:lvlText w:val="o"/>
      <w:lvlJc w:val="left"/>
      <w:pPr>
        <w:ind w:left="3600" w:hanging="360"/>
      </w:pPr>
      <w:rPr>
        <w:rFonts w:ascii="Courier New" w:hAnsi="Courier New" w:hint="default"/>
      </w:rPr>
    </w:lvl>
    <w:lvl w:ilvl="5" w:tplc="280243BA">
      <w:start w:val="1"/>
      <w:numFmt w:val="bullet"/>
      <w:lvlText w:val=""/>
      <w:lvlJc w:val="left"/>
      <w:pPr>
        <w:ind w:left="4320" w:hanging="360"/>
      </w:pPr>
      <w:rPr>
        <w:rFonts w:ascii="Wingdings" w:hAnsi="Wingdings" w:hint="default"/>
      </w:rPr>
    </w:lvl>
    <w:lvl w:ilvl="6" w:tplc="9E0EFE4A">
      <w:start w:val="1"/>
      <w:numFmt w:val="bullet"/>
      <w:lvlText w:val=""/>
      <w:lvlJc w:val="left"/>
      <w:pPr>
        <w:ind w:left="5040" w:hanging="360"/>
      </w:pPr>
      <w:rPr>
        <w:rFonts w:ascii="Symbol" w:hAnsi="Symbol" w:hint="default"/>
      </w:rPr>
    </w:lvl>
    <w:lvl w:ilvl="7" w:tplc="28BAD5C2">
      <w:start w:val="1"/>
      <w:numFmt w:val="bullet"/>
      <w:lvlText w:val="o"/>
      <w:lvlJc w:val="left"/>
      <w:pPr>
        <w:ind w:left="5760" w:hanging="360"/>
      </w:pPr>
      <w:rPr>
        <w:rFonts w:ascii="Courier New" w:hAnsi="Courier New" w:hint="default"/>
      </w:rPr>
    </w:lvl>
    <w:lvl w:ilvl="8" w:tplc="F2648080">
      <w:start w:val="1"/>
      <w:numFmt w:val="bullet"/>
      <w:lvlText w:val=""/>
      <w:lvlJc w:val="left"/>
      <w:pPr>
        <w:ind w:left="6480" w:hanging="360"/>
      </w:pPr>
      <w:rPr>
        <w:rFonts w:ascii="Wingdings" w:hAnsi="Wingdings" w:hint="default"/>
      </w:rPr>
    </w:lvl>
  </w:abstractNum>
  <w:abstractNum w:abstractNumId="12" w15:restartNumberingAfterBreak="0">
    <w:nsid w:val="6C112099"/>
    <w:multiLevelType w:val="hybridMultilevel"/>
    <w:tmpl w:val="9620C8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2EEF7"/>
    <w:multiLevelType w:val="hybridMultilevel"/>
    <w:tmpl w:val="7B3E7DC6"/>
    <w:lvl w:ilvl="0" w:tplc="95627E4E">
      <w:start w:val="1"/>
      <w:numFmt w:val="decimal"/>
      <w:lvlText w:val="%1."/>
      <w:lvlJc w:val="left"/>
      <w:pPr>
        <w:ind w:left="720" w:hanging="360"/>
      </w:pPr>
    </w:lvl>
    <w:lvl w:ilvl="1" w:tplc="F924667C">
      <w:start w:val="1"/>
      <w:numFmt w:val="lowerLetter"/>
      <w:lvlText w:val="%2."/>
      <w:lvlJc w:val="left"/>
      <w:pPr>
        <w:ind w:left="1440" w:hanging="360"/>
      </w:pPr>
    </w:lvl>
    <w:lvl w:ilvl="2" w:tplc="23E46D32">
      <w:start w:val="1"/>
      <w:numFmt w:val="lowerRoman"/>
      <w:lvlText w:val="%3."/>
      <w:lvlJc w:val="right"/>
      <w:pPr>
        <w:ind w:left="2160" w:hanging="180"/>
      </w:pPr>
    </w:lvl>
    <w:lvl w:ilvl="3" w:tplc="8E48E3EA">
      <w:start w:val="1"/>
      <w:numFmt w:val="decimal"/>
      <w:lvlText w:val="%4."/>
      <w:lvlJc w:val="left"/>
      <w:pPr>
        <w:ind w:left="2880" w:hanging="360"/>
      </w:pPr>
    </w:lvl>
    <w:lvl w:ilvl="4" w:tplc="3B60305E">
      <w:start w:val="1"/>
      <w:numFmt w:val="lowerLetter"/>
      <w:lvlText w:val="%5."/>
      <w:lvlJc w:val="left"/>
      <w:pPr>
        <w:ind w:left="3600" w:hanging="360"/>
      </w:pPr>
    </w:lvl>
    <w:lvl w:ilvl="5" w:tplc="D6C26FBA">
      <w:start w:val="1"/>
      <w:numFmt w:val="lowerRoman"/>
      <w:lvlText w:val="%6."/>
      <w:lvlJc w:val="right"/>
      <w:pPr>
        <w:ind w:left="4320" w:hanging="180"/>
      </w:pPr>
    </w:lvl>
    <w:lvl w:ilvl="6" w:tplc="CDF4BF60">
      <w:start w:val="1"/>
      <w:numFmt w:val="decimal"/>
      <w:lvlText w:val="%7."/>
      <w:lvlJc w:val="left"/>
      <w:pPr>
        <w:ind w:left="5040" w:hanging="360"/>
      </w:pPr>
    </w:lvl>
    <w:lvl w:ilvl="7" w:tplc="43F6B9B6">
      <w:start w:val="1"/>
      <w:numFmt w:val="lowerLetter"/>
      <w:lvlText w:val="%8."/>
      <w:lvlJc w:val="left"/>
      <w:pPr>
        <w:ind w:left="5760" w:hanging="360"/>
      </w:pPr>
    </w:lvl>
    <w:lvl w:ilvl="8" w:tplc="11D47836">
      <w:start w:val="1"/>
      <w:numFmt w:val="lowerRoman"/>
      <w:lvlText w:val="%9."/>
      <w:lvlJc w:val="right"/>
      <w:pPr>
        <w:ind w:left="6480" w:hanging="180"/>
      </w:pPr>
    </w:lvl>
  </w:abstractNum>
  <w:num w:numId="1" w16cid:durableId="1347904643">
    <w:abstractNumId w:val="13"/>
  </w:num>
  <w:num w:numId="2" w16cid:durableId="748037097">
    <w:abstractNumId w:val="9"/>
  </w:num>
  <w:num w:numId="3" w16cid:durableId="1587229375">
    <w:abstractNumId w:val="7"/>
  </w:num>
  <w:num w:numId="4" w16cid:durableId="1414162685">
    <w:abstractNumId w:val="11"/>
  </w:num>
  <w:num w:numId="5" w16cid:durableId="740250494">
    <w:abstractNumId w:val="3"/>
  </w:num>
  <w:num w:numId="6" w16cid:durableId="99418936">
    <w:abstractNumId w:val="4"/>
  </w:num>
  <w:num w:numId="7" w16cid:durableId="1873496878">
    <w:abstractNumId w:val="8"/>
  </w:num>
  <w:num w:numId="8" w16cid:durableId="1018895934">
    <w:abstractNumId w:val="12"/>
  </w:num>
  <w:num w:numId="9" w16cid:durableId="525799277">
    <w:abstractNumId w:val="0"/>
  </w:num>
  <w:num w:numId="10" w16cid:durableId="2067875162">
    <w:abstractNumId w:val="6"/>
  </w:num>
  <w:num w:numId="11" w16cid:durableId="574170846">
    <w:abstractNumId w:val="10"/>
  </w:num>
  <w:num w:numId="12" w16cid:durableId="339622629">
    <w:abstractNumId w:val="5"/>
  </w:num>
  <w:num w:numId="13" w16cid:durableId="304362343">
    <w:abstractNumId w:val="1"/>
  </w:num>
  <w:num w:numId="14" w16cid:durableId="1238785647">
    <w:abstractNumId w:val="2"/>
  </w:num>
  <w:num w:numId="15" w16cid:durableId="395862590">
    <w:abstractNumId w:val="2"/>
  </w:num>
  <w:num w:numId="16" w16cid:durableId="857739048">
    <w:abstractNumId w:val="2"/>
  </w:num>
  <w:num w:numId="17" w16cid:durableId="466162816">
    <w:abstractNumId w:val="2"/>
  </w:num>
  <w:num w:numId="18" w16cid:durableId="565072972">
    <w:abstractNumId w:val="2"/>
  </w:num>
  <w:num w:numId="19" w16cid:durableId="985935389">
    <w:abstractNumId w:val="2"/>
  </w:num>
  <w:num w:numId="20" w16cid:durableId="1417627887">
    <w:abstractNumId w:val="2"/>
  </w:num>
  <w:num w:numId="21" w16cid:durableId="1160971800">
    <w:abstractNumId w:val="2"/>
  </w:num>
  <w:num w:numId="22" w16cid:durableId="1680348091">
    <w:abstractNumId w:val="2"/>
  </w:num>
  <w:num w:numId="23" w16cid:durableId="818231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6F"/>
    <w:rsid w:val="00027ABE"/>
    <w:rsid w:val="0004137E"/>
    <w:rsid w:val="00062412"/>
    <w:rsid w:val="000654F8"/>
    <w:rsid w:val="0009623C"/>
    <w:rsid w:val="00154D7A"/>
    <w:rsid w:val="0019617B"/>
    <w:rsid w:val="001A51F8"/>
    <w:rsid w:val="001B6D9B"/>
    <w:rsid w:val="001D24AE"/>
    <w:rsid w:val="001F0FDD"/>
    <w:rsid w:val="002434AB"/>
    <w:rsid w:val="002A58A8"/>
    <w:rsid w:val="002A7739"/>
    <w:rsid w:val="002E331D"/>
    <w:rsid w:val="00313FC7"/>
    <w:rsid w:val="00322EC4"/>
    <w:rsid w:val="0033148A"/>
    <w:rsid w:val="00372DB9"/>
    <w:rsid w:val="0038524E"/>
    <w:rsid w:val="003A6DDD"/>
    <w:rsid w:val="003D17B1"/>
    <w:rsid w:val="003F3FD9"/>
    <w:rsid w:val="003F4A27"/>
    <w:rsid w:val="004471FE"/>
    <w:rsid w:val="004549AD"/>
    <w:rsid w:val="00470CC7"/>
    <w:rsid w:val="00477507"/>
    <w:rsid w:val="00477E5C"/>
    <w:rsid w:val="00496459"/>
    <w:rsid w:val="004A5158"/>
    <w:rsid w:val="00522A0B"/>
    <w:rsid w:val="00567D9D"/>
    <w:rsid w:val="005B7EFD"/>
    <w:rsid w:val="005D717B"/>
    <w:rsid w:val="005E4689"/>
    <w:rsid w:val="005F205C"/>
    <w:rsid w:val="00600219"/>
    <w:rsid w:val="006045FC"/>
    <w:rsid w:val="00664676"/>
    <w:rsid w:val="006D130A"/>
    <w:rsid w:val="006E4493"/>
    <w:rsid w:val="0070608A"/>
    <w:rsid w:val="00744636"/>
    <w:rsid w:val="0077151B"/>
    <w:rsid w:val="0078047A"/>
    <w:rsid w:val="007F1EA0"/>
    <w:rsid w:val="00800585"/>
    <w:rsid w:val="00842AF6"/>
    <w:rsid w:val="00856CE4"/>
    <w:rsid w:val="008570B7"/>
    <w:rsid w:val="008C0998"/>
    <w:rsid w:val="008F6270"/>
    <w:rsid w:val="00900AF5"/>
    <w:rsid w:val="009460D0"/>
    <w:rsid w:val="00992A2E"/>
    <w:rsid w:val="009A40CB"/>
    <w:rsid w:val="009A4BA6"/>
    <w:rsid w:val="009C461E"/>
    <w:rsid w:val="009D1349"/>
    <w:rsid w:val="009D2974"/>
    <w:rsid w:val="009E566E"/>
    <w:rsid w:val="00A6196F"/>
    <w:rsid w:val="00A76A88"/>
    <w:rsid w:val="00B15EDE"/>
    <w:rsid w:val="00B8746F"/>
    <w:rsid w:val="00BA5C38"/>
    <w:rsid w:val="00BC539E"/>
    <w:rsid w:val="00C32354"/>
    <w:rsid w:val="00C348E6"/>
    <w:rsid w:val="00C50085"/>
    <w:rsid w:val="00C53089"/>
    <w:rsid w:val="00CD4E77"/>
    <w:rsid w:val="00D32DA5"/>
    <w:rsid w:val="00D63C81"/>
    <w:rsid w:val="00DB5CDB"/>
    <w:rsid w:val="00DC6F37"/>
    <w:rsid w:val="00DF2B09"/>
    <w:rsid w:val="00E01FEB"/>
    <w:rsid w:val="00E1495A"/>
    <w:rsid w:val="00E346B3"/>
    <w:rsid w:val="00EC2399"/>
    <w:rsid w:val="00EC5AA1"/>
    <w:rsid w:val="00F11DB6"/>
    <w:rsid w:val="00F515FC"/>
    <w:rsid w:val="00F62160"/>
    <w:rsid w:val="00F93514"/>
    <w:rsid w:val="00FB708F"/>
    <w:rsid w:val="00FC526C"/>
    <w:rsid w:val="021FE8FA"/>
    <w:rsid w:val="04EBC4C0"/>
    <w:rsid w:val="07FC9698"/>
    <w:rsid w:val="089A0A57"/>
    <w:rsid w:val="0AB3B791"/>
    <w:rsid w:val="0C401D2E"/>
    <w:rsid w:val="0CC4ECE8"/>
    <w:rsid w:val="0CF3330F"/>
    <w:rsid w:val="0EBC3B26"/>
    <w:rsid w:val="0FDE7039"/>
    <w:rsid w:val="11B58526"/>
    <w:rsid w:val="11F1016F"/>
    <w:rsid w:val="1292E5FB"/>
    <w:rsid w:val="1516916E"/>
    <w:rsid w:val="1A7A289C"/>
    <w:rsid w:val="1DD27914"/>
    <w:rsid w:val="1E76F9D6"/>
    <w:rsid w:val="1EF7D2CC"/>
    <w:rsid w:val="1F1F9EC9"/>
    <w:rsid w:val="1F3B9EB9"/>
    <w:rsid w:val="1F7D11F1"/>
    <w:rsid w:val="1F7D1CF5"/>
    <w:rsid w:val="1F81DFD9"/>
    <w:rsid w:val="1FE0974E"/>
    <w:rsid w:val="21B790D4"/>
    <w:rsid w:val="2387EE03"/>
    <w:rsid w:val="24935E38"/>
    <w:rsid w:val="24956C09"/>
    <w:rsid w:val="24ED3455"/>
    <w:rsid w:val="253E29FC"/>
    <w:rsid w:val="25EADC9C"/>
    <w:rsid w:val="27272DDC"/>
    <w:rsid w:val="27EB203F"/>
    <w:rsid w:val="294DD03A"/>
    <w:rsid w:val="299B1D3A"/>
    <w:rsid w:val="2C44D453"/>
    <w:rsid w:val="2D1EA125"/>
    <w:rsid w:val="2E6F4DF8"/>
    <w:rsid w:val="307465E2"/>
    <w:rsid w:val="31BF0699"/>
    <w:rsid w:val="3370CB1D"/>
    <w:rsid w:val="33C63142"/>
    <w:rsid w:val="345C58BB"/>
    <w:rsid w:val="349CE1BC"/>
    <w:rsid w:val="35984792"/>
    <w:rsid w:val="359D4545"/>
    <w:rsid w:val="3623A1D7"/>
    <w:rsid w:val="3796970E"/>
    <w:rsid w:val="37F7E879"/>
    <w:rsid w:val="39BCA232"/>
    <w:rsid w:val="39F6F9EF"/>
    <w:rsid w:val="3BE0E749"/>
    <w:rsid w:val="3C0FFE1E"/>
    <w:rsid w:val="3C63648F"/>
    <w:rsid w:val="3E9CAA2E"/>
    <w:rsid w:val="3F047DB6"/>
    <w:rsid w:val="40A308EB"/>
    <w:rsid w:val="40DFAED5"/>
    <w:rsid w:val="4116773C"/>
    <w:rsid w:val="41A1C490"/>
    <w:rsid w:val="423479B7"/>
    <w:rsid w:val="42FFFC3D"/>
    <w:rsid w:val="44E53ACE"/>
    <w:rsid w:val="459779FA"/>
    <w:rsid w:val="45DDE554"/>
    <w:rsid w:val="45E372A4"/>
    <w:rsid w:val="47911049"/>
    <w:rsid w:val="4821E16C"/>
    <w:rsid w:val="490B04D9"/>
    <w:rsid w:val="4950A3D8"/>
    <w:rsid w:val="49B661C1"/>
    <w:rsid w:val="4AC370B6"/>
    <w:rsid w:val="4DABA2B1"/>
    <w:rsid w:val="4DED02BC"/>
    <w:rsid w:val="4EA493C9"/>
    <w:rsid w:val="4F63E678"/>
    <w:rsid w:val="4FEC7686"/>
    <w:rsid w:val="50B20A04"/>
    <w:rsid w:val="51FFDF0E"/>
    <w:rsid w:val="5206D13F"/>
    <w:rsid w:val="5214E2AB"/>
    <w:rsid w:val="521F8FB2"/>
    <w:rsid w:val="5408577E"/>
    <w:rsid w:val="56C40A23"/>
    <w:rsid w:val="58C13E40"/>
    <w:rsid w:val="5972AA52"/>
    <w:rsid w:val="5B2D7A81"/>
    <w:rsid w:val="5B554DC2"/>
    <w:rsid w:val="5B5FFD1C"/>
    <w:rsid w:val="5DB0CEC2"/>
    <w:rsid w:val="5DBE5A83"/>
    <w:rsid w:val="5DCCC59A"/>
    <w:rsid w:val="5DD26950"/>
    <w:rsid w:val="5E754D38"/>
    <w:rsid w:val="5FD3E3BC"/>
    <w:rsid w:val="608288D0"/>
    <w:rsid w:val="609C056C"/>
    <w:rsid w:val="61F487AF"/>
    <w:rsid w:val="62CF2E1F"/>
    <w:rsid w:val="631F33F3"/>
    <w:rsid w:val="6337BEB1"/>
    <w:rsid w:val="633BE5AA"/>
    <w:rsid w:val="6384BB0F"/>
    <w:rsid w:val="638E785D"/>
    <w:rsid w:val="639685E5"/>
    <w:rsid w:val="648BE568"/>
    <w:rsid w:val="6761A0D3"/>
    <w:rsid w:val="67D07567"/>
    <w:rsid w:val="68CCDB62"/>
    <w:rsid w:val="69640564"/>
    <w:rsid w:val="6A8C5C88"/>
    <w:rsid w:val="6CC285E1"/>
    <w:rsid w:val="6D894F43"/>
    <w:rsid w:val="6EB5C3D1"/>
    <w:rsid w:val="6F12FD85"/>
    <w:rsid w:val="6F6339F9"/>
    <w:rsid w:val="7247A50F"/>
    <w:rsid w:val="726E956F"/>
    <w:rsid w:val="7328D1E3"/>
    <w:rsid w:val="747D6588"/>
    <w:rsid w:val="74A864EA"/>
    <w:rsid w:val="752E97B5"/>
    <w:rsid w:val="769CA1B7"/>
    <w:rsid w:val="772FE2C2"/>
    <w:rsid w:val="7B6C20C6"/>
    <w:rsid w:val="7C0A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73EB"/>
  <w15:docId w15:val="{939D8FE4-4A83-4D0D-BB91-F88CF11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74"/>
  </w:style>
  <w:style w:type="paragraph" w:styleId="Heading1">
    <w:name w:val="heading 1"/>
    <w:basedOn w:val="Normal"/>
    <w:next w:val="Normal"/>
    <w:link w:val="Heading1Char"/>
    <w:uiPriority w:val="9"/>
    <w:qFormat/>
    <w:rsid w:val="009D297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D297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D297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D2974"/>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9D2974"/>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9D2974"/>
    <w:pPr>
      <w:keepNext/>
      <w:keepLines/>
      <w:spacing w:before="40" w:after="0"/>
      <w:outlineLvl w:val="5"/>
    </w:pPr>
  </w:style>
  <w:style w:type="paragraph" w:styleId="Heading7">
    <w:name w:val="heading 7"/>
    <w:basedOn w:val="Normal"/>
    <w:next w:val="Normal"/>
    <w:link w:val="Heading7Char"/>
    <w:uiPriority w:val="9"/>
    <w:semiHidden/>
    <w:unhideWhenUsed/>
    <w:qFormat/>
    <w:rsid w:val="009D297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D2974"/>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9D29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6F"/>
    <w:pPr>
      <w:ind w:left="720"/>
      <w:contextualSpacing/>
    </w:pPr>
  </w:style>
  <w:style w:type="paragraph" w:customStyle="1" w:styleId="xmsonormal">
    <w:name w:val="x_msonormal"/>
    <w:basedOn w:val="Normal"/>
    <w:uiPriority w:val="99"/>
    <w:rsid w:val="00EC5AA1"/>
    <w:pPr>
      <w:spacing w:after="0" w:line="240" w:lineRule="auto"/>
    </w:pPr>
    <w:rPr>
      <w:rFonts w:ascii="Calibri" w:hAnsi="Calibri" w:cs="Calibri"/>
      <w:lang w:eastAsia="en-GB"/>
    </w:rPr>
  </w:style>
  <w:style w:type="paragraph" w:customStyle="1" w:styleId="xmsolistparagraph">
    <w:name w:val="x_msolistparagraph"/>
    <w:basedOn w:val="Normal"/>
    <w:uiPriority w:val="99"/>
    <w:rsid w:val="00EC5AA1"/>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2E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1D"/>
  </w:style>
  <w:style w:type="paragraph" w:styleId="Revision">
    <w:name w:val="Revision"/>
    <w:hidden/>
    <w:uiPriority w:val="99"/>
    <w:semiHidden/>
    <w:rsid w:val="00E1495A"/>
    <w:pPr>
      <w:spacing w:after="0" w:line="240" w:lineRule="auto"/>
    </w:pPr>
  </w:style>
  <w:style w:type="character" w:styleId="CommentReference">
    <w:name w:val="annotation reference"/>
    <w:basedOn w:val="DefaultParagraphFont"/>
    <w:uiPriority w:val="99"/>
    <w:semiHidden/>
    <w:unhideWhenUsed/>
    <w:rsid w:val="009C461E"/>
    <w:rPr>
      <w:sz w:val="16"/>
      <w:szCs w:val="16"/>
    </w:rPr>
  </w:style>
  <w:style w:type="paragraph" w:styleId="CommentText">
    <w:name w:val="annotation text"/>
    <w:basedOn w:val="Normal"/>
    <w:link w:val="CommentTextChar"/>
    <w:uiPriority w:val="99"/>
    <w:unhideWhenUsed/>
    <w:rsid w:val="009C461E"/>
    <w:pPr>
      <w:spacing w:line="240" w:lineRule="auto"/>
    </w:pPr>
    <w:rPr>
      <w:sz w:val="20"/>
      <w:szCs w:val="20"/>
    </w:rPr>
  </w:style>
  <w:style w:type="character" w:customStyle="1" w:styleId="CommentTextChar">
    <w:name w:val="Comment Text Char"/>
    <w:basedOn w:val="DefaultParagraphFont"/>
    <w:link w:val="CommentText"/>
    <w:uiPriority w:val="99"/>
    <w:rsid w:val="009C461E"/>
    <w:rPr>
      <w:sz w:val="20"/>
      <w:szCs w:val="20"/>
    </w:rPr>
  </w:style>
  <w:style w:type="paragraph" w:styleId="CommentSubject">
    <w:name w:val="annotation subject"/>
    <w:basedOn w:val="CommentText"/>
    <w:next w:val="CommentText"/>
    <w:link w:val="CommentSubjectChar"/>
    <w:uiPriority w:val="99"/>
    <w:semiHidden/>
    <w:unhideWhenUsed/>
    <w:rsid w:val="009C461E"/>
    <w:rPr>
      <w:b/>
      <w:bCs/>
    </w:rPr>
  </w:style>
  <w:style w:type="character" w:customStyle="1" w:styleId="CommentSubjectChar">
    <w:name w:val="Comment Subject Char"/>
    <w:basedOn w:val="CommentTextChar"/>
    <w:link w:val="CommentSubject"/>
    <w:uiPriority w:val="99"/>
    <w:semiHidden/>
    <w:rsid w:val="009C461E"/>
    <w:rPr>
      <w:b/>
      <w:bCs/>
      <w:sz w:val="20"/>
      <w:szCs w:val="20"/>
    </w:rPr>
  </w:style>
  <w:style w:type="paragraph" w:styleId="Footer">
    <w:name w:val="footer"/>
    <w:basedOn w:val="Normal"/>
    <w:link w:val="FooterChar"/>
    <w:uiPriority w:val="99"/>
    <w:unhideWhenUsed/>
    <w:rsid w:val="001B6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9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D297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9D2974"/>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D297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D2974"/>
    <w:rPr>
      <w:i/>
      <w:iCs/>
    </w:rPr>
  </w:style>
  <w:style w:type="character" w:customStyle="1" w:styleId="Heading5Char">
    <w:name w:val="Heading 5 Char"/>
    <w:basedOn w:val="DefaultParagraphFont"/>
    <w:link w:val="Heading5"/>
    <w:uiPriority w:val="9"/>
    <w:semiHidden/>
    <w:rsid w:val="009D2974"/>
    <w:rPr>
      <w:color w:val="404040" w:themeColor="text1" w:themeTint="BF"/>
    </w:rPr>
  </w:style>
  <w:style w:type="character" w:customStyle="1" w:styleId="Heading6Char">
    <w:name w:val="Heading 6 Char"/>
    <w:basedOn w:val="DefaultParagraphFont"/>
    <w:link w:val="Heading6"/>
    <w:uiPriority w:val="9"/>
    <w:semiHidden/>
    <w:rsid w:val="009D2974"/>
  </w:style>
  <w:style w:type="character" w:customStyle="1" w:styleId="Heading7Char">
    <w:name w:val="Heading 7 Char"/>
    <w:basedOn w:val="DefaultParagraphFont"/>
    <w:link w:val="Heading7"/>
    <w:uiPriority w:val="9"/>
    <w:semiHidden/>
    <w:rsid w:val="009D297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D2974"/>
    <w:rPr>
      <w:color w:val="262626" w:themeColor="text1" w:themeTint="D9"/>
      <w:sz w:val="21"/>
      <w:szCs w:val="21"/>
    </w:rPr>
  </w:style>
  <w:style w:type="character" w:customStyle="1" w:styleId="Heading9Char">
    <w:name w:val="Heading 9 Char"/>
    <w:basedOn w:val="DefaultParagraphFont"/>
    <w:link w:val="Heading9"/>
    <w:uiPriority w:val="9"/>
    <w:semiHidden/>
    <w:rsid w:val="009D297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D297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D297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D297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D297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D2974"/>
    <w:rPr>
      <w:color w:val="5A5A5A" w:themeColor="text1" w:themeTint="A5"/>
      <w:spacing w:val="15"/>
    </w:rPr>
  </w:style>
  <w:style w:type="character" w:styleId="Strong">
    <w:name w:val="Strong"/>
    <w:basedOn w:val="DefaultParagraphFont"/>
    <w:uiPriority w:val="22"/>
    <w:qFormat/>
    <w:rsid w:val="009D2974"/>
    <w:rPr>
      <w:b/>
      <w:bCs/>
      <w:color w:val="auto"/>
    </w:rPr>
  </w:style>
  <w:style w:type="character" w:styleId="Emphasis">
    <w:name w:val="Emphasis"/>
    <w:basedOn w:val="DefaultParagraphFont"/>
    <w:uiPriority w:val="20"/>
    <w:qFormat/>
    <w:rsid w:val="009D2974"/>
    <w:rPr>
      <w:i/>
      <w:iCs/>
      <w:color w:val="auto"/>
    </w:rPr>
  </w:style>
  <w:style w:type="paragraph" w:styleId="NoSpacing">
    <w:name w:val="No Spacing"/>
    <w:uiPriority w:val="1"/>
    <w:qFormat/>
    <w:rsid w:val="009D2974"/>
    <w:pPr>
      <w:spacing w:after="0" w:line="240" w:lineRule="auto"/>
    </w:pPr>
  </w:style>
  <w:style w:type="paragraph" w:styleId="Quote">
    <w:name w:val="Quote"/>
    <w:basedOn w:val="Normal"/>
    <w:next w:val="Normal"/>
    <w:link w:val="QuoteChar"/>
    <w:uiPriority w:val="29"/>
    <w:qFormat/>
    <w:rsid w:val="009D297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D2974"/>
    <w:rPr>
      <w:i/>
      <w:iCs/>
      <w:color w:val="404040" w:themeColor="text1" w:themeTint="BF"/>
    </w:rPr>
  </w:style>
  <w:style w:type="paragraph" w:styleId="IntenseQuote">
    <w:name w:val="Intense Quote"/>
    <w:basedOn w:val="Normal"/>
    <w:next w:val="Normal"/>
    <w:link w:val="IntenseQuoteChar"/>
    <w:uiPriority w:val="30"/>
    <w:qFormat/>
    <w:rsid w:val="009D297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D2974"/>
    <w:rPr>
      <w:i/>
      <w:iCs/>
      <w:color w:val="404040" w:themeColor="text1" w:themeTint="BF"/>
    </w:rPr>
  </w:style>
  <w:style w:type="character" w:styleId="SubtleEmphasis">
    <w:name w:val="Subtle Emphasis"/>
    <w:basedOn w:val="DefaultParagraphFont"/>
    <w:uiPriority w:val="19"/>
    <w:qFormat/>
    <w:rsid w:val="009D2974"/>
    <w:rPr>
      <w:i/>
      <w:iCs/>
      <w:color w:val="404040" w:themeColor="text1" w:themeTint="BF"/>
    </w:rPr>
  </w:style>
  <w:style w:type="character" w:styleId="IntenseEmphasis">
    <w:name w:val="Intense Emphasis"/>
    <w:basedOn w:val="DefaultParagraphFont"/>
    <w:uiPriority w:val="21"/>
    <w:qFormat/>
    <w:rsid w:val="009D2974"/>
    <w:rPr>
      <w:b/>
      <w:bCs/>
      <w:i/>
      <w:iCs/>
      <w:color w:val="auto"/>
    </w:rPr>
  </w:style>
  <w:style w:type="character" w:styleId="SubtleReference">
    <w:name w:val="Subtle Reference"/>
    <w:basedOn w:val="DefaultParagraphFont"/>
    <w:uiPriority w:val="31"/>
    <w:qFormat/>
    <w:rsid w:val="009D2974"/>
    <w:rPr>
      <w:smallCaps/>
      <w:color w:val="404040" w:themeColor="text1" w:themeTint="BF"/>
    </w:rPr>
  </w:style>
  <w:style w:type="character" w:styleId="IntenseReference">
    <w:name w:val="Intense Reference"/>
    <w:basedOn w:val="DefaultParagraphFont"/>
    <w:uiPriority w:val="32"/>
    <w:qFormat/>
    <w:rsid w:val="009D2974"/>
    <w:rPr>
      <w:b/>
      <w:bCs/>
      <w:smallCaps/>
      <w:color w:val="404040" w:themeColor="text1" w:themeTint="BF"/>
      <w:spacing w:val="5"/>
    </w:rPr>
  </w:style>
  <w:style w:type="character" w:styleId="BookTitle">
    <w:name w:val="Book Title"/>
    <w:basedOn w:val="DefaultParagraphFont"/>
    <w:uiPriority w:val="33"/>
    <w:qFormat/>
    <w:rsid w:val="009D2974"/>
    <w:rPr>
      <w:b/>
      <w:bCs/>
      <w:i/>
      <w:iCs/>
      <w:spacing w:val="5"/>
    </w:rPr>
  </w:style>
  <w:style w:type="paragraph" w:styleId="TOCHeading">
    <w:name w:val="TOC Heading"/>
    <w:basedOn w:val="Heading1"/>
    <w:next w:val="Normal"/>
    <w:uiPriority w:val="39"/>
    <w:semiHidden/>
    <w:unhideWhenUsed/>
    <w:qFormat/>
    <w:rsid w:val="009D29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4214">
      <w:bodyDiv w:val="1"/>
      <w:marLeft w:val="0"/>
      <w:marRight w:val="0"/>
      <w:marTop w:val="0"/>
      <w:marBottom w:val="0"/>
      <w:divBdr>
        <w:top w:val="none" w:sz="0" w:space="0" w:color="auto"/>
        <w:left w:val="none" w:sz="0" w:space="0" w:color="auto"/>
        <w:bottom w:val="none" w:sz="0" w:space="0" w:color="auto"/>
        <w:right w:val="none" w:sz="0" w:space="0" w:color="auto"/>
      </w:divBdr>
    </w:div>
    <w:div w:id="481316746">
      <w:bodyDiv w:val="1"/>
      <w:marLeft w:val="0"/>
      <w:marRight w:val="0"/>
      <w:marTop w:val="0"/>
      <w:marBottom w:val="0"/>
      <w:divBdr>
        <w:top w:val="none" w:sz="0" w:space="0" w:color="auto"/>
        <w:left w:val="none" w:sz="0" w:space="0" w:color="auto"/>
        <w:bottom w:val="none" w:sz="0" w:space="0" w:color="auto"/>
        <w:right w:val="none" w:sz="0" w:space="0" w:color="auto"/>
      </w:divBdr>
    </w:div>
    <w:div w:id="1112438940">
      <w:bodyDiv w:val="1"/>
      <w:marLeft w:val="0"/>
      <w:marRight w:val="0"/>
      <w:marTop w:val="0"/>
      <w:marBottom w:val="0"/>
      <w:divBdr>
        <w:top w:val="none" w:sz="0" w:space="0" w:color="auto"/>
        <w:left w:val="none" w:sz="0" w:space="0" w:color="auto"/>
        <w:bottom w:val="none" w:sz="0" w:space="0" w:color="auto"/>
        <w:right w:val="none" w:sz="0" w:space="0" w:color="auto"/>
      </w:divBdr>
    </w:div>
    <w:div w:id="1171212832">
      <w:bodyDiv w:val="1"/>
      <w:marLeft w:val="0"/>
      <w:marRight w:val="0"/>
      <w:marTop w:val="0"/>
      <w:marBottom w:val="0"/>
      <w:divBdr>
        <w:top w:val="none" w:sz="0" w:space="0" w:color="auto"/>
        <w:left w:val="none" w:sz="0" w:space="0" w:color="auto"/>
        <w:bottom w:val="none" w:sz="0" w:space="0" w:color="auto"/>
        <w:right w:val="none" w:sz="0" w:space="0" w:color="auto"/>
      </w:divBdr>
    </w:div>
    <w:div w:id="1436057182">
      <w:bodyDiv w:val="1"/>
      <w:marLeft w:val="0"/>
      <w:marRight w:val="0"/>
      <w:marTop w:val="0"/>
      <w:marBottom w:val="0"/>
      <w:divBdr>
        <w:top w:val="none" w:sz="0" w:space="0" w:color="auto"/>
        <w:left w:val="none" w:sz="0" w:space="0" w:color="auto"/>
        <w:bottom w:val="none" w:sz="0" w:space="0" w:color="auto"/>
        <w:right w:val="none" w:sz="0" w:space="0" w:color="auto"/>
      </w:divBdr>
    </w:div>
    <w:div w:id="1469126218">
      <w:bodyDiv w:val="1"/>
      <w:marLeft w:val="0"/>
      <w:marRight w:val="0"/>
      <w:marTop w:val="0"/>
      <w:marBottom w:val="0"/>
      <w:divBdr>
        <w:top w:val="none" w:sz="0" w:space="0" w:color="auto"/>
        <w:left w:val="none" w:sz="0" w:space="0" w:color="auto"/>
        <w:bottom w:val="none" w:sz="0" w:space="0" w:color="auto"/>
        <w:right w:val="none" w:sz="0" w:space="0" w:color="auto"/>
      </w:divBdr>
    </w:div>
    <w:div w:id="1501895018">
      <w:bodyDiv w:val="1"/>
      <w:marLeft w:val="0"/>
      <w:marRight w:val="0"/>
      <w:marTop w:val="0"/>
      <w:marBottom w:val="0"/>
      <w:divBdr>
        <w:top w:val="none" w:sz="0" w:space="0" w:color="auto"/>
        <w:left w:val="none" w:sz="0" w:space="0" w:color="auto"/>
        <w:bottom w:val="none" w:sz="0" w:space="0" w:color="auto"/>
        <w:right w:val="none" w:sz="0" w:space="0" w:color="auto"/>
      </w:divBdr>
    </w:div>
    <w:div w:id="190830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D9593F29ACA439B1FEF96A3502189" ma:contentTypeVersion="4" ma:contentTypeDescription="Create a new document." ma:contentTypeScope="" ma:versionID="d90ed726b9f557ab3227f652ea7f18cd">
  <xsd:schema xmlns:xsd="http://www.w3.org/2001/XMLSchema" xmlns:xs="http://www.w3.org/2001/XMLSchema" xmlns:p="http://schemas.microsoft.com/office/2006/metadata/properties" xmlns:ns2="312b856c-126a-42df-ae23-1a4861287c01" targetNamespace="http://schemas.microsoft.com/office/2006/metadata/properties" ma:root="true" ma:fieldsID="d40876e99a9e1e0e7ea0494447f4c1d9" ns2:_="">
    <xsd:import namespace="312b856c-126a-42df-ae23-1a4861287c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b856c-126a-42df-ae23-1a4861287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C4FF4-41D6-4C0D-939F-E2477EB03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D312E-0681-4279-91F2-3A0FE35CA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b856c-126a-42df-ae23-1a4861287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4656F-709B-48E6-B19B-9E00A1DCF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Stocks</dc:creator>
  <cp:keywords/>
  <dc:description/>
  <cp:lastModifiedBy>Nicola Heaney</cp:lastModifiedBy>
  <cp:revision>3</cp:revision>
  <dcterms:created xsi:type="dcterms:W3CDTF">2024-08-14T15:57:00Z</dcterms:created>
  <dcterms:modified xsi:type="dcterms:W3CDTF">2024-08-14T16:34:00Z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0x01010027DD9593F29ACA439B1FEF96A3502189</vt:lpwstr>
  </property>
  <property fmtid="{D5CDD505-2E9C-101B-9397-08002B2CF9AE}" pid="3" name="MSIP_Label_43c9f532-f68c-4710-a80c-2dea02e48496_Enabled">
    <vt:lpwstr>true</vt:lpwstr>
  </property>
  <property fmtid="{D5CDD505-2E9C-101B-9397-08002B2CF9AE}" pid="4" name="MSIP_Label_43c9f532-f68c-4710-a80c-2dea02e48496_SetDate">
    <vt:lpwstr>2024-06-27T18:43:33Z</vt:lpwstr>
  </property>
  <property fmtid="{D5CDD505-2E9C-101B-9397-08002B2CF9AE}" pid="5" name="MSIP_Label_43c9f532-f68c-4710-a80c-2dea02e48496_Method">
    <vt:lpwstr>Standard</vt:lpwstr>
  </property>
  <property fmtid="{D5CDD505-2E9C-101B-9397-08002B2CF9AE}" pid="6" name="MSIP_Label_43c9f532-f68c-4710-a80c-2dea02e48496_Name">
    <vt:lpwstr>Restricted Label</vt:lpwstr>
  </property>
  <property fmtid="{D5CDD505-2E9C-101B-9397-08002B2CF9AE}" pid="7" name="MSIP_Label_43c9f532-f68c-4710-a80c-2dea02e48496_SiteId">
    <vt:lpwstr>23706653-cd57-4504-9a59-0960251db4b0</vt:lpwstr>
  </property>
  <property fmtid="{D5CDD505-2E9C-101B-9397-08002B2CF9AE}" pid="8" name="MSIP_Label_43c9f532-f68c-4710-a80c-2dea02e48496_ActionId">
    <vt:lpwstr>87c643e8-2b05-4d30-8647-82e062d27425</vt:lpwstr>
  </property>
  <property fmtid="{D5CDD505-2E9C-101B-9397-08002B2CF9AE}" pid="9" name="MSIP_Label_43c9f532-f68c-4710-a80c-2dea02e48496_ContentBits">
    <vt:lpwstr>0</vt:lpwstr>
  </property>
  <property fmtid="{D5CDD505-2E9C-101B-9397-08002B2CF9AE}" pid="10" name="MSIP_Label_f851b4f6-a95e-46a7-8457-84c26f440032_Enabled">
    <vt:lpwstr>true</vt:lpwstr>
  </property>
  <property fmtid="{D5CDD505-2E9C-101B-9397-08002B2CF9AE}" pid="11" name="MSIP_Label_f851b4f6-a95e-46a7-8457-84c26f440032_SetDate">
    <vt:lpwstr>2024-08-14T08:57:46Z</vt:lpwstr>
  </property>
  <property fmtid="{D5CDD505-2E9C-101B-9397-08002B2CF9AE}" pid="12" name="MSIP_Label_f851b4f6-a95e-46a7-8457-84c26f440032_Method">
    <vt:lpwstr>Privileged</vt:lpwstr>
  </property>
  <property fmtid="{D5CDD505-2E9C-101B-9397-08002B2CF9AE}" pid="13" name="MSIP_Label_f851b4f6-a95e-46a7-8457-84c26f440032_Name">
    <vt:lpwstr>CLARESTRI</vt:lpwstr>
  </property>
  <property fmtid="{D5CDD505-2E9C-101B-9397-08002B2CF9AE}" pid="14" name="MSIP_Label_f851b4f6-a95e-46a7-8457-84c26f440032_SiteId">
    <vt:lpwstr>e0fd434d-ba64-497b-90d2-859c472e1a92</vt:lpwstr>
  </property>
  <property fmtid="{D5CDD505-2E9C-101B-9397-08002B2CF9AE}" pid="15" name="MSIP_Label_f851b4f6-a95e-46a7-8457-84c26f440032_ActionId">
    <vt:lpwstr>3eeef8c9-2827-4871-91c1-71dd0dfc8ea9</vt:lpwstr>
  </property>
  <property fmtid="{D5CDD505-2E9C-101B-9397-08002B2CF9AE}" pid="16" name="MSIP_Label_f851b4f6-a95e-46a7-8457-84c26f440032_ContentBits">
    <vt:lpwstr>2</vt:lpwstr>
  </property>
  <property fmtid="{D5CDD505-2E9C-101B-9397-08002B2CF9AE}" pid="17" name="Classification">
    <vt:lpwstr>RESTRICTED</vt:lpwstr>
  </property>
</Properties>
</file>